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600" w:lineRule="exact"/>
        <w:rPr>
          <w:sz w:val="72"/>
          <w:szCs w:val="72"/>
        </w:rPr>
      </w:pPr>
    </w:p>
    <w:p>
      <w:pPr>
        <w:pStyle w:val=""/>
        <w:spacing w:before="93"/>
        <w:rPr>
          <w:rFonts w:ascii="Times New Roman"/>
          <w:sz w:val="30"/>
          <w:szCs w:val="24"/>
        </w:rPr>
      </w:pPr>
    </w:p>
    <w:p>
      <w:pPr>
        <w:pStyle w:val=""/>
        <w:jc w:val="center"/>
        <w:spacing w:line="600" w:lineRule="exact"/>
        <w:rPr>
          <w:sz w:val="72"/>
          <w:szCs w:val="72"/>
        </w:rPr>
      </w:pPr>
    </w:p>
    <w:p>
      <w:pPr>
        <w:pStyle w:val=""/>
        <w:spacing w:before="93"/>
      </w:pPr>
    </w:p>
    <w:p>
      <w:pPr>
        <w:pStyle w:val=""/>
        <w:jc w:val="center"/>
        <w:spacing w:line="0" w:lineRule="atLeast"/>
      </w:pPr>
      <w:r>
        <w:rPr>
          <w:sz w:val="56"/>
          <w:szCs w:val="62"/>
        </w:rPr>
        <w:t>2022年度</w:t>
      </w:r>
    </w:p>
    <w:p>
      <w:pPr>
        <w:pStyle w:val=""/>
        <w:jc w:val="center"/>
        <w:spacing w:line="0" w:lineRule="atLeast"/>
        <w:rPr>
          <w:sz w:val="58"/>
          <w:szCs w:val="72"/>
        </w:rPr>
      </w:pPr>
      <w:r>
        <w:rPr>
          <w:sz w:val="56"/>
          <w:szCs w:val="72"/>
        </w:rPr>
        <w:t>攀枝花市人民检察院部门决算</w:t>
      </w:r>
    </w:p>
    <w:p>
      <w:pPr>
        <w:pStyle w:val=""/>
        <w:jc w:val="center"/>
      </w:pPr>
      <w:r>
        <w:rPr>
          <w:sz w:val="36"/>
          <w:szCs w:val="36"/>
        </w:rPr>
        <w:br w:type="page"/>
      </w:r>
      <w:r>
        <w:rPr>
          <w:b/>
          <w:sz w:val="44"/>
          <w:szCs w:val="44"/>
        </w:rPr>
        <w:t>目</w:t>
      </w:r>
      <w:r>
        <w:rPr>
          <w:b/>
          <w:sz w:val="44"/>
          <w:szCs w:val="44"/>
        </w:rPr>
        <w:t xml:space="preserve">  </w:t>
      </w:r>
      <w:r>
        <w:rPr>
          <w:b/>
          <w:sz w:val="44"/>
          <w:szCs w:val="44"/>
        </w:rPr>
        <w:t>录</w:t>
      </w:r>
    </w:p>
    <w:p>
      <w:pPr>
        <w:pStyle w:val="1"/>
      </w:pPr>
      <w:r>
        <w:rPr>
          <w:b/>
          <w:rFonts w:ascii="Times New Roman" w:hAnsi="Times New Roman"/>
        </w:rPr>
        <w:t>公开时间：2023年9月12日</w:t>
      </w:r>
    </w:p>
    <w:p>
      <w:pPr>
        <w:pStyle w:val=""/>
      </w:pPr>
    </w:p>
    <w:p>
      <w:pPr>
        <w:pStyle w:val=""/>
        <w:spacing w:before="93"/>
      </w:pPr>
    </w:p>
    <w:p>
      <w:pPr>
        <w:pStyle w:val="1"/>
        <w:jc w:val="both"/>
        <w:spacing w:before="0" w:line="600" w:lineRule="exact"/>
        <w:rPr>
          <w:rFonts w:ascii="Times New Roman" w:hAnsi="Times New Roman"/>
          <w:sz w:val="30"/>
          <w:szCs w:val="30"/>
        </w:rPr>
      </w:pPr>
      <w:r>
        <w:rPr>
          <w:rStyle w:val=""/>
          <w:rFonts w:ascii="Times New Roman" w:hAnsi="黑体"/>
          <w:sz w:val="30"/>
          <w:szCs w:val="30"/>
        </w:rPr>
        <w:t>第一部分</w:t>
      </w:r>
      <w:r>
        <w:rPr>
          <w:rStyle w:val=""/>
          <w:rFonts w:ascii="Times New Roman" w:hAnsi="Times New Roman"/>
          <w:sz w:val="30"/>
          <w:szCs w:val="30"/>
        </w:rPr>
        <w:t xml:space="preserve"> </w:t>
      </w:r>
      <w:r>
        <w:rPr>
          <w:rStyle w:val=""/>
          <w:rFonts w:ascii="Times New Roman" w:hAnsi="黑体"/>
          <w:sz w:val="30"/>
          <w:szCs w:val="30"/>
        </w:rPr>
        <w:t>部门概况</w:t>
      </w:r>
      <w:r>
        <w:rPr>
          <w:rFonts w:ascii="Times New Roman" w:hAnsi="Times New Roman"/>
          <w:sz w:val="30"/>
          <w:szCs w:val="30"/>
        </w:rPr>
        <w:tab/>
      </w:r>
      <w:r>
        <w:rPr>
          <w:rFonts w:ascii="Times New Roman" w:hAnsi="Times New Roman"/>
          <w:sz w:val="30"/>
          <w:szCs w:val="30"/>
        </w:rPr>
        <w:t>3</w:t>
      </w:r>
    </w:p>
    <w:p>
      <w:pPr>
        <w:pStyle w:val="2"/>
        <w:ind w:left="0"/>
        <w:ind w:firstLine="615"/>
        <w:spacing w:line="600" w:lineRule="exact"/>
        <w:rPr>
          <w:sz w:val="30"/>
          <w:szCs w:val="30"/>
        </w:rPr>
      </w:pPr>
      <w:r>
        <w:rPr>
          <w:rStyle w:val=""/>
          <w:sz w:val="30"/>
          <w:szCs w:val="30"/>
        </w:rPr>
        <w:t>一、部门职责</w:t>
      </w:r>
      <w:r>
        <w:rPr>
          <w:sz w:val="30"/>
          <w:szCs w:val="30"/>
        </w:rPr>
        <w:tab/>
      </w:r>
      <w:r>
        <w:rPr>
          <w:sz w:val="30"/>
          <w:szCs w:val="30"/>
        </w:rPr>
        <w:t>3</w:t>
      </w:r>
    </w:p>
    <w:p>
      <w:pPr>
        <w:pStyle w:val="2"/>
        <w:ind w:left="0"/>
        <w:ind w:firstLine="615"/>
        <w:spacing w:line="600" w:lineRule="exact"/>
        <w:rPr>
          <w:sz w:val="30"/>
          <w:szCs w:val="30"/>
        </w:rPr>
      </w:pPr>
      <w:r>
        <w:rPr>
          <w:rStyle w:val=""/>
          <w:sz w:val="30"/>
          <w:szCs w:val="30"/>
        </w:rPr>
        <w:t>二、机构设置</w:t>
      </w:r>
      <w:r>
        <w:rPr>
          <w:sz w:val="30"/>
          <w:szCs w:val="30"/>
        </w:rPr>
        <w:tab/>
      </w:r>
      <w:r>
        <w:rPr>
          <w:sz w:val="30"/>
          <w:szCs w:val="30"/>
        </w:rPr>
        <w:t>3</w:t>
      </w:r>
    </w:p>
    <w:p>
      <w:pPr>
        <w:pStyle w:val="1"/>
        <w:jc w:val="both"/>
        <w:spacing w:before="0" w:line="600" w:lineRule="exact"/>
        <w:rPr>
          <w:rFonts w:ascii="Times New Roman" w:hAnsi="Times New Roman"/>
          <w:sz w:val="30"/>
          <w:szCs w:val="30"/>
        </w:rPr>
      </w:pPr>
      <w:r>
        <w:rPr>
          <w:rStyle w:val=""/>
          <w:rFonts w:ascii="Times New Roman" w:hAnsi="黑体"/>
          <w:sz w:val="30"/>
          <w:szCs w:val="30"/>
        </w:rPr>
        <w:t>第二部分</w:t>
      </w:r>
      <w:r>
        <w:rPr>
          <w:rStyle w:val=""/>
          <w:rFonts w:ascii="Times New Roman" w:hAnsi="Times New Roman"/>
          <w:sz w:val="30"/>
          <w:szCs w:val="30"/>
        </w:rPr>
        <w:t xml:space="preserve"> 2022</w:t>
      </w:r>
      <w:r>
        <w:rPr>
          <w:rStyle w:val=""/>
          <w:rFonts w:ascii="Times New Roman" w:hAnsi="黑体"/>
          <w:sz w:val="30"/>
          <w:szCs w:val="30"/>
        </w:rPr>
        <w:t>年度部门决算情况说明</w:t>
      </w:r>
      <w:r>
        <w:rPr>
          <w:rFonts w:ascii="Times New Roman" w:hAnsi="Times New Roman"/>
          <w:sz w:val="30"/>
          <w:szCs w:val="30"/>
        </w:rPr>
        <w:tab/>
      </w:r>
      <w:r>
        <w:rPr>
          <w:rFonts w:ascii="Times New Roman" w:hAnsi="Times New Roman"/>
          <w:sz w:val="30"/>
          <w:szCs w:val="30"/>
        </w:rPr>
        <w:t>4</w:t>
      </w:r>
    </w:p>
    <w:p>
      <w:pPr>
        <w:pStyle w:val="2"/>
        <w:ind w:left="0"/>
        <w:ind w:firstLine="600"/>
        <w:spacing w:line="600" w:lineRule="exact"/>
        <w:rPr>
          <w:sz w:val="30"/>
          <w:szCs w:val="30"/>
        </w:rPr>
      </w:pPr>
      <w:r>
        <w:rPr>
          <w:rStyle w:val=""/>
          <w:sz w:val="30"/>
          <w:szCs w:val="30"/>
        </w:rPr>
        <w:t>一、</w:t>
      </w:r>
      <w:r>
        <w:rPr>
          <w:rStyle w:val=""/>
          <w:sz w:val="30"/>
          <w:szCs w:val="30"/>
        </w:rPr>
        <w:t>收</w:t>
      </w:r>
      <w:r>
        <w:rPr>
          <w:rStyle w:val=""/>
          <w:sz w:val="30"/>
          <w:szCs w:val="30"/>
        </w:rPr>
        <w:t>入支出决算总体情况说明</w:t>
      </w:r>
      <w:r>
        <w:rPr>
          <w:sz w:val="30"/>
          <w:szCs w:val="30"/>
        </w:rPr>
        <w:tab/>
      </w:r>
      <w:r>
        <w:rPr>
          <w:sz w:val="30"/>
          <w:szCs w:val="30"/>
        </w:rPr>
        <w:t>4</w:t>
      </w:r>
    </w:p>
    <w:p>
      <w:pPr>
        <w:pStyle w:val="2"/>
        <w:ind w:left="0"/>
        <w:ind w:firstLine="600"/>
        <w:spacing w:line="600" w:lineRule="exact"/>
        <w:rPr>
          <w:sz w:val="30"/>
          <w:szCs w:val="30"/>
        </w:rPr>
      </w:pPr>
      <w:r>
        <w:rPr>
          <w:rStyle w:val=""/>
          <w:sz w:val="30"/>
          <w:szCs w:val="30"/>
        </w:rPr>
        <w:t>二、</w:t>
      </w:r>
      <w:r>
        <w:rPr>
          <w:rStyle w:val=""/>
          <w:sz w:val="30"/>
          <w:szCs w:val="30"/>
        </w:rPr>
        <w:t>收</w:t>
      </w:r>
      <w:r>
        <w:rPr>
          <w:rStyle w:val=""/>
          <w:sz w:val="30"/>
          <w:szCs w:val="30"/>
        </w:rPr>
        <w:t>入决算情况说明</w:t>
      </w:r>
      <w:r>
        <w:rPr>
          <w:sz w:val="30"/>
          <w:szCs w:val="30"/>
        </w:rPr>
        <w:tab/>
      </w:r>
      <w:r>
        <w:rPr>
          <w:sz w:val="30"/>
          <w:szCs w:val="30"/>
        </w:rPr>
        <w:t>4</w:t>
      </w:r>
    </w:p>
    <w:p>
      <w:pPr>
        <w:pStyle w:val="2"/>
        <w:ind w:left="0"/>
        <w:ind w:firstLine="600"/>
        <w:spacing w:line="600" w:lineRule="exact"/>
        <w:rPr>
          <w:sz w:val="30"/>
          <w:szCs w:val="30"/>
        </w:rPr>
      </w:pPr>
      <w:r>
        <w:rPr>
          <w:rStyle w:val=""/>
          <w:sz w:val="30"/>
          <w:szCs w:val="30"/>
        </w:rPr>
        <w:t>三、</w:t>
      </w:r>
      <w:r>
        <w:rPr>
          <w:sz w:val="30"/>
          <w:szCs w:val="30"/>
        </w:rPr>
        <w:tab/>
      </w:r>
      <w:r>
        <w:rPr>
          <w:rStyle w:val=""/>
          <w:sz w:val="30"/>
          <w:szCs w:val="30"/>
        </w:rPr>
        <w:t>支</w:t>
      </w:r>
      <w:r>
        <w:rPr>
          <w:rStyle w:val=""/>
          <w:sz w:val="30"/>
          <w:szCs w:val="30"/>
        </w:rPr>
        <w:t>出决算情况说明</w:t>
      </w:r>
      <w:r>
        <w:rPr>
          <w:sz w:val="30"/>
          <w:szCs w:val="30"/>
        </w:rPr>
        <w:tab/>
      </w:r>
      <w:r>
        <w:rPr>
          <w:sz w:val="30"/>
          <w:szCs w:val="30"/>
        </w:rPr>
        <w:t>5</w:t>
      </w:r>
    </w:p>
    <w:p>
      <w:pPr>
        <w:pStyle w:val="2"/>
        <w:ind w:left="0"/>
        <w:ind w:firstLine="600"/>
        <w:spacing w:line="600" w:lineRule="exact"/>
        <w:rPr>
          <w:sz w:val="30"/>
          <w:szCs w:val="30"/>
        </w:rPr>
      </w:pPr>
      <w:r>
        <w:rPr>
          <w:rStyle w:val=""/>
          <w:sz w:val="30"/>
          <w:szCs w:val="30"/>
        </w:rPr>
        <w:t>四、财</w:t>
      </w:r>
      <w:r>
        <w:rPr>
          <w:rStyle w:val=""/>
          <w:sz w:val="30"/>
          <w:szCs w:val="30"/>
        </w:rPr>
        <w:t>政拨款收入支出决算总体情况说明</w:t>
      </w:r>
      <w:r>
        <w:rPr>
          <w:sz w:val="30"/>
          <w:szCs w:val="30"/>
        </w:rPr>
        <w:tab/>
      </w:r>
      <w:r>
        <w:rPr>
          <w:sz w:val="30"/>
          <w:szCs w:val="30"/>
        </w:rPr>
        <w:t>6</w:t>
      </w:r>
    </w:p>
    <w:p>
      <w:pPr>
        <w:pStyle w:val="2"/>
        <w:ind w:left="0"/>
        <w:ind w:firstLine="600"/>
        <w:spacing w:line="600" w:lineRule="exact"/>
        <w:rPr>
          <w:sz w:val="30"/>
          <w:szCs w:val="30"/>
        </w:rPr>
      </w:pPr>
      <w:r>
        <w:rPr>
          <w:rStyle w:val=""/>
          <w:sz w:val="30"/>
          <w:szCs w:val="30"/>
        </w:rPr>
        <w:t>五、</w:t>
      </w:r>
      <w:r>
        <w:rPr>
          <w:rStyle w:val=""/>
          <w:b/>
          <w:sz w:val="30"/>
          <w:szCs w:val="30"/>
        </w:rPr>
        <w:t>一</w:t>
      </w:r>
      <w:r>
        <w:rPr>
          <w:rStyle w:val=""/>
          <w:sz w:val="30"/>
          <w:szCs w:val="30"/>
        </w:rPr>
        <w:t>般公共预算财政拨款支出决算情况说明</w:t>
      </w:r>
      <w:r>
        <w:rPr>
          <w:sz w:val="30"/>
          <w:szCs w:val="30"/>
        </w:rPr>
        <w:tab/>
      </w:r>
      <w:r>
        <w:rPr>
          <w:sz w:val="30"/>
          <w:szCs w:val="30"/>
        </w:rPr>
        <w:t>7</w:t>
      </w:r>
    </w:p>
    <w:p>
      <w:pPr>
        <w:pStyle w:val="2"/>
        <w:ind w:left="0"/>
        <w:ind w:firstLine="600"/>
        <w:spacing w:line="600" w:lineRule="exact"/>
        <w:rPr>
          <w:sz w:val="30"/>
          <w:szCs w:val="30"/>
        </w:rPr>
      </w:pPr>
      <w:r>
        <w:rPr>
          <w:rStyle w:val=""/>
          <w:sz w:val="30"/>
          <w:szCs w:val="30"/>
        </w:rPr>
        <w:t>六</w:t>
      </w:r>
      <w:r>
        <w:rPr>
          <w:rStyle w:val=""/>
          <w:b/>
          <w:sz w:val="30"/>
          <w:szCs w:val="30"/>
        </w:rPr>
        <w:t>、一</w:t>
      </w:r>
      <w:r>
        <w:rPr>
          <w:rStyle w:val=""/>
          <w:sz w:val="30"/>
          <w:szCs w:val="30"/>
        </w:rPr>
        <w:t>般公共预算财政拨款基本支出决算情况说明</w:t>
      </w:r>
      <w:r>
        <w:rPr>
          <w:sz w:val="30"/>
          <w:szCs w:val="30"/>
        </w:rPr>
        <w:tab/>
      </w:r>
      <w:r>
        <w:rPr>
          <w:sz w:val="30"/>
          <w:szCs w:val="30"/>
        </w:rPr>
        <w:t>9</w:t>
      </w:r>
    </w:p>
    <w:p>
      <w:pPr>
        <w:pStyle w:val="2"/>
        <w:ind w:left="0"/>
        <w:ind w:firstLine="600"/>
        <w:spacing w:line="600" w:lineRule="exact"/>
        <w:rPr>
          <w:sz w:val="30"/>
          <w:szCs w:val="30"/>
        </w:rPr>
      </w:pPr>
      <w:r>
        <w:rPr>
          <w:rStyle w:val=""/>
          <w:sz w:val="30"/>
          <w:szCs w:val="30"/>
        </w:rPr>
        <w:t>七、</w:t>
      </w:r>
      <w:r>
        <w:rPr>
          <w:rStyle w:val=""/>
          <w:sz w:val="30"/>
          <w:szCs w:val="30"/>
        </w:rPr>
        <w:t>财政拨款</w:t>
      </w:r>
      <w:r>
        <w:rPr>
          <w:rStyle w:val=""/>
          <w:b/>
          <w:sz w:val="30"/>
          <w:szCs w:val="30"/>
        </w:rPr>
        <w:t>“</w:t>
      </w:r>
      <w:r>
        <w:rPr>
          <w:rStyle w:val=""/>
          <w:sz w:val="30"/>
          <w:szCs w:val="30"/>
        </w:rPr>
        <w:t>三公”经费支出决算情况说明</w:t>
      </w:r>
      <w:r>
        <w:rPr>
          <w:sz w:val="30"/>
          <w:szCs w:val="30"/>
        </w:rPr>
        <w:tab/>
      </w:r>
      <w:r>
        <w:rPr>
          <w:sz w:val="30"/>
          <w:szCs w:val="30"/>
        </w:rPr>
        <w:t>10</w:t>
      </w:r>
    </w:p>
    <w:p>
      <w:pPr>
        <w:pStyle w:val="2"/>
        <w:ind w:left="0"/>
        <w:ind w:firstLine="600"/>
        <w:spacing w:line="600" w:lineRule="exact"/>
        <w:rPr>
          <w:sz w:val="30"/>
          <w:szCs w:val="30"/>
        </w:rPr>
      </w:pPr>
      <w:r>
        <w:rPr>
          <w:rStyle w:val=""/>
          <w:sz w:val="30"/>
          <w:szCs w:val="30"/>
        </w:rPr>
        <w:t>八、</w:t>
      </w:r>
      <w:r>
        <w:rPr>
          <w:rStyle w:val=""/>
          <w:sz w:val="30"/>
          <w:szCs w:val="30"/>
        </w:rPr>
        <w:t>政府性基金预算支出决算情况说明</w:t>
      </w:r>
      <w:r>
        <w:rPr>
          <w:sz w:val="30"/>
          <w:szCs w:val="30"/>
        </w:rPr>
        <w:tab/>
      </w:r>
      <w:r>
        <w:rPr>
          <w:sz w:val="30"/>
          <w:szCs w:val="30"/>
        </w:rPr>
        <w:t>12</w:t>
      </w:r>
    </w:p>
    <w:p>
      <w:pPr>
        <w:pStyle w:val="2"/>
        <w:ind w:left="0"/>
        <w:ind w:firstLine="600"/>
        <w:spacing w:line="600" w:lineRule="exact"/>
        <w:rPr>
          <w:sz w:val="30"/>
          <w:szCs w:val="30"/>
        </w:rPr>
      </w:pPr>
      <w:r>
        <w:rPr>
          <w:rStyle w:val=""/>
          <w:sz w:val="30"/>
          <w:szCs w:val="30"/>
        </w:rPr>
        <w:t>九、 国有资本经营预算支出决算情况说明</w:t>
      </w:r>
      <w:r>
        <w:rPr>
          <w:sz w:val="30"/>
          <w:szCs w:val="30"/>
        </w:rPr>
        <w:tab/>
      </w:r>
      <w:r>
        <w:rPr>
          <w:sz w:val="30"/>
          <w:szCs w:val="30"/>
        </w:rPr>
        <w:t>12</w:t>
      </w:r>
    </w:p>
    <w:p>
      <w:pPr>
        <w:pStyle w:val="2"/>
        <w:ind w:left="0"/>
        <w:ind w:firstLine="600"/>
        <w:spacing w:line="600" w:lineRule="exact"/>
        <w:rPr>
          <w:sz w:val="30"/>
          <w:szCs w:val="30"/>
        </w:rPr>
      </w:pPr>
      <w:r>
        <w:rPr>
          <w:rStyle w:val=""/>
          <w:sz w:val="30"/>
          <w:szCs w:val="30"/>
        </w:rPr>
        <w:t>十、 其他重要事项的情况说明</w:t>
      </w:r>
      <w:r>
        <w:rPr>
          <w:sz w:val="30"/>
          <w:szCs w:val="30"/>
        </w:rPr>
        <w:tab/>
      </w:r>
      <w:r>
        <w:rPr>
          <w:sz w:val="30"/>
          <w:szCs w:val="30"/>
        </w:rPr>
        <w:t>12</w:t>
      </w:r>
    </w:p>
    <w:p>
      <w:pPr>
        <w:pStyle w:val="1"/>
        <w:jc w:val="both"/>
        <w:spacing w:before="0" w:line="600" w:lineRule="exact"/>
        <w:rPr>
          <w:rFonts w:ascii="Times New Roman" w:hAnsi="Times New Roman"/>
          <w:sz w:val="30"/>
          <w:szCs w:val="30"/>
        </w:rPr>
      </w:pPr>
      <w:r>
        <w:rPr>
          <w:rStyle w:val=""/>
          <w:rFonts w:ascii="Times New Roman" w:hAnsi="黑体"/>
          <w:sz w:val="30"/>
          <w:szCs w:val="30"/>
        </w:rPr>
        <w:t>第三部分</w:t>
      </w:r>
      <w:r>
        <w:rPr>
          <w:rStyle w:val=""/>
          <w:rFonts w:ascii="Times New Roman" w:hAnsi="Times New Roman"/>
          <w:sz w:val="30"/>
          <w:szCs w:val="30"/>
        </w:rPr>
        <w:t xml:space="preserve"> </w:t>
      </w:r>
      <w:r>
        <w:rPr>
          <w:rStyle w:val=""/>
          <w:rFonts w:ascii="Times New Roman" w:hAnsi="黑体"/>
          <w:sz w:val="30"/>
          <w:szCs w:val="30"/>
        </w:rPr>
        <w:t>名</w:t>
      </w:r>
      <w:r>
        <w:rPr>
          <w:rStyle w:val=""/>
          <w:rFonts w:ascii="Times New Roman" w:hAnsi="黑体"/>
          <w:sz w:val="30"/>
          <w:szCs w:val="30"/>
        </w:rPr>
        <w:t>词</w:t>
      </w:r>
      <w:r>
        <w:rPr>
          <w:rStyle w:val=""/>
          <w:rFonts w:ascii="Times New Roman" w:hAnsi="黑体"/>
          <w:sz w:val="30"/>
          <w:szCs w:val="30"/>
        </w:rPr>
        <w:t>解释</w:t>
      </w:r>
      <w:r>
        <w:rPr>
          <w:rFonts w:ascii="Times New Roman" w:hAnsi="Times New Roman"/>
          <w:sz w:val="30"/>
          <w:szCs w:val="30"/>
        </w:rPr>
        <w:tab/>
      </w:r>
      <w:r>
        <w:rPr>
          <w:rFonts w:ascii="Times New Roman" w:hAnsi="Times New Roman"/>
          <w:sz w:val="30"/>
          <w:szCs w:val="30"/>
        </w:rPr>
        <w:t>15</w:t>
      </w:r>
    </w:p>
    <w:p>
      <w:pPr>
        <w:pStyle w:val="1"/>
        <w:jc w:val="both"/>
        <w:spacing w:before="0" w:line="600" w:lineRule="exact"/>
        <w:rPr>
          <w:rFonts w:ascii="Times New Roman" w:hAnsi="Times New Roman"/>
          <w:sz w:val="30"/>
          <w:szCs w:val="30"/>
        </w:rPr>
      </w:pPr>
      <w:r>
        <w:rPr>
          <w:rStyle w:val=""/>
          <w:rFonts w:ascii="Times New Roman" w:hAnsi="黑体"/>
          <w:sz w:val="30"/>
          <w:szCs w:val="30"/>
        </w:rPr>
        <w:t>第</w:t>
      </w:r>
      <w:r>
        <w:rPr>
          <w:rStyle w:val=""/>
          <w:rFonts w:ascii="Times New Roman" w:hAnsi="黑体"/>
          <w:sz w:val="30"/>
          <w:szCs w:val="30"/>
        </w:rPr>
        <w:t>四部分</w:t>
      </w:r>
      <w:r>
        <w:rPr>
          <w:rStyle w:val=""/>
          <w:rFonts w:ascii="Times New Roman" w:hAnsi="Times New Roman"/>
          <w:sz w:val="30"/>
          <w:szCs w:val="30"/>
        </w:rPr>
        <w:t xml:space="preserve"> </w:t>
      </w:r>
      <w:r>
        <w:rPr>
          <w:rStyle w:val=""/>
          <w:rFonts w:ascii="Times New Roman" w:hAnsi="黑体"/>
          <w:sz w:val="30"/>
          <w:szCs w:val="30"/>
        </w:rPr>
        <w:t>附件</w:t>
      </w:r>
      <w:r>
        <w:rPr>
          <w:rFonts w:ascii="Times New Roman" w:hAnsi="Times New Roman"/>
          <w:sz w:val="30"/>
          <w:szCs w:val="30"/>
        </w:rPr>
        <w:tab/>
      </w:r>
      <w:r>
        <w:rPr>
          <w:rFonts w:ascii="Times New Roman" w:hAnsi="Times New Roman"/>
          <w:sz w:val="30"/>
          <w:szCs w:val="30"/>
        </w:rPr>
        <w:t>18</w:t>
      </w:r>
    </w:p>
    <w:p>
      <w:pPr>
        <w:pStyle w:val="1"/>
        <w:jc w:val="both"/>
        <w:spacing w:before="0" w:line="600" w:lineRule="exact"/>
        <w:rPr>
          <w:rFonts w:ascii="Times New Roman" w:hAnsi="Times New Roman"/>
          <w:sz w:val="30"/>
          <w:szCs w:val="30"/>
        </w:rPr>
      </w:pPr>
      <w:r>
        <w:rPr>
          <w:rStyle w:val=""/>
          <w:rFonts w:ascii="Times New Roman" w:hAnsi="黑体"/>
          <w:sz w:val="30"/>
          <w:szCs w:val="30"/>
        </w:rPr>
        <w:t>第</w:t>
      </w:r>
      <w:r>
        <w:rPr>
          <w:rStyle w:val=""/>
          <w:rFonts w:ascii="Times New Roman" w:hAnsi="黑体"/>
          <w:sz w:val="30"/>
          <w:szCs w:val="30"/>
        </w:rPr>
        <w:t>五部分</w:t>
      </w:r>
      <w:r>
        <w:rPr>
          <w:rStyle w:val=""/>
          <w:rFonts w:ascii="Times New Roman" w:hAnsi="Times New Roman"/>
          <w:sz w:val="30"/>
          <w:szCs w:val="30"/>
        </w:rPr>
        <w:t xml:space="preserve"> </w:t>
      </w:r>
      <w:r>
        <w:rPr>
          <w:rStyle w:val=""/>
          <w:rFonts w:ascii="Times New Roman" w:hAnsi="黑体"/>
          <w:sz w:val="30"/>
          <w:szCs w:val="30"/>
        </w:rPr>
        <w:t>附表</w:t>
      </w:r>
      <w:r>
        <w:rPr>
          <w:rFonts w:ascii="Times New Roman" w:hAnsi="Times New Roman"/>
          <w:sz w:val="30"/>
          <w:szCs w:val="30"/>
        </w:rPr>
        <w:tab/>
      </w:r>
      <w:r>
        <w:rPr>
          <w:rFonts w:ascii="Times New Roman" w:hAnsi="Times New Roman"/>
          <w:sz w:val="30"/>
          <w:szCs w:val="30"/>
        </w:rPr>
        <w:t>42</w:t>
      </w:r>
    </w:p>
    <w:p>
      <w:pPr>
        <w:pStyle w:val="1"/>
        <w:jc w:val="center"/>
        <w:rPr>
          <w:sz w:val="32"/>
          <w:szCs w:val="32"/>
        </w:rPr>
      </w:pPr>
      <w:r>
        <w:rPr>
          <w:b/>
        </w:rPr>
        <w:t xml:space="preserve">第一部分 </w:t>
      </w:r>
      <w:r>
        <w:rPr>
          <w:rStyle w:val="1Char"/>
          <w:b/>
        </w:rPr>
        <w:t>部门概况</w:t>
      </w:r>
    </w:p>
    <w:p>
      <w:pPr>
        <w:pStyle w:val="2"/>
        <w:ind w:left="420"/>
        <w:ind w:firstLine="320"/>
        <w:spacing w:after="0" w:line="415" w:lineRule="auto"/>
      </w:pPr>
      <w:r>
        <w:rPr>
          <w:b/>
          <w:rFonts w:ascii="Times New Roman" w:hAnsi="Times New Roman"/>
        </w:rPr>
        <w:t>一、部门职责</w:t>
      </w:r>
    </w:p>
    <w:p>
      <w:pPr>
        <w:shd w:fill="FFFFFF"/>
        <w:pStyle w:val=""/>
        <w:ind w:firstLine="640"/>
      </w:pPr>
      <w:r>
        <w:rPr>
          <w:sz w:val="32"/>
          <w:szCs w:val="32"/>
        </w:rPr>
        <w:t>人民检察院是国家的法律监督机关，依法行使下列职权：</w:t>
      </w:r>
    </w:p>
    <w:p>
      <w:pPr>
        <w:shd w:fill="FFFFFF"/>
        <w:pStyle w:val=""/>
        <w:numPr>
          <w:ilvl w:val="0"/>
          <w:numId w:val="4281616727"/>
        </w:numPr>
      </w:pPr>
      <w:r>
        <w:rPr>
          <w:sz w:val="32"/>
          <w:szCs w:val="32"/>
        </w:rPr>
        <w:t>依照法律规定对有关刑事案件行使侦查权；</w:t>
      </w:r>
    </w:p>
    <w:p>
      <w:pPr>
        <w:shd w:fill="FFFFFF"/>
        <w:pStyle w:val=""/>
      </w:pPr>
      <w:r>
        <w:rPr>
          <w:sz w:val="32"/>
          <w:szCs w:val="32"/>
        </w:rPr>
        <w:t>　　2. 对</w:t>
      </w:r>
      <w:r>
        <w:rPr>
          <w:sz w:val="32"/>
          <w:szCs w:val="32"/>
        </w:rPr>
        <w:t>刑事案件进行审查，批准或者决定是否逮捕犯罪嫌疑人；</w:t>
      </w:r>
    </w:p>
    <w:p>
      <w:pPr>
        <w:shd w:fill="FFFFFF"/>
        <w:pStyle w:val=""/>
      </w:pPr>
      <w:r>
        <w:rPr>
          <w:sz w:val="32"/>
          <w:szCs w:val="32"/>
        </w:rPr>
        <w:t>　　3. 对刑事案件进行审查，决定是否提起公诉，对决定提起公诉的案件支持公诉；</w:t>
      </w:r>
    </w:p>
    <w:p>
      <w:pPr>
        <w:shd w:fill="FFFFFF"/>
        <w:pStyle w:val=""/>
      </w:pPr>
      <w:r>
        <w:rPr>
          <w:sz w:val="32"/>
          <w:szCs w:val="32"/>
        </w:rPr>
        <w:t>　　4. 依照法律规定提起公益诉讼；</w:t>
      </w:r>
    </w:p>
    <w:p>
      <w:pPr>
        <w:shd w:fill="FFFFFF"/>
        <w:pStyle w:val=""/>
      </w:pPr>
      <w:r>
        <w:rPr>
          <w:sz w:val="32"/>
          <w:szCs w:val="32"/>
        </w:rPr>
        <w:t>　　5. 对诉讼活动实行法律监督；</w:t>
      </w:r>
    </w:p>
    <w:p>
      <w:pPr>
        <w:shd w:fill="FFFFFF"/>
        <w:pStyle w:val=""/>
      </w:pPr>
      <w:r>
        <w:rPr>
          <w:sz w:val="32"/>
          <w:szCs w:val="32"/>
        </w:rPr>
        <w:t>　　6. 对判决、裁定等生效法律文书的执行工作实行法律监督；</w:t>
      </w:r>
    </w:p>
    <w:p>
      <w:pPr>
        <w:shd w:fill="FFFFFF"/>
        <w:pStyle w:val=""/>
      </w:pPr>
      <w:r>
        <w:rPr>
          <w:sz w:val="32"/>
          <w:szCs w:val="32"/>
        </w:rPr>
        <w:t>　　7. 对监狱、看守所的执法活动实行法律监督；</w:t>
      </w:r>
    </w:p>
    <w:p>
      <w:pPr>
        <w:shd w:fill="FFFFFF"/>
        <w:pStyle w:val=""/>
      </w:pPr>
      <w:r>
        <w:rPr>
          <w:sz w:val="32"/>
          <w:szCs w:val="32"/>
        </w:rPr>
        <w:t>　　8. 法律规定的其他职权。</w:t>
      </w:r>
    </w:p>
    <w:p>
      <w:pPr>
        <w:pStyle w:val="2"/>
        <w:ind w:firstLine="640"/>
        <w:spacing w:before="0" w:after="0"/>
        <w:rPr>
          <w:b/>
          <w:rFonts w:ascii="Times New Roman" w:hAnsi="Times New Roman"/>
        </w:rPr>
      </w:pPr>
      <w:r>
        <w:rPr>
          <w:b/>
          <w:rFonts w:ascii="Times New Roman" w:hAnsi="Times New Roman"/>
        </w:rPr>
        <w:t>二、</w:t>
      </w:r>
      <w:r>
        <w:rPr>
          <w:b/>
          <w:rFonts w:ascii="Times New Roman" w:hAnsi="Times New Roman"/>
        </w:rPr>
        <w:t>机构设置</w:t>
      </w:r>
    </w:p>
    <w:p>
      <w:pPr>
        <w:pStyle w:val=""/>
        <w:ind w:firstLine="640"/>
      </w:pPr>
      <w:r>
        <w:rPr>
          <w:sz w:val="32"/>
          <w:szCs w:val="32"/>
        </w:rPr>
        <w:t>攀枝花市人民检察院下属二级预算单位0个，其中行政单位0个，参照公务员法管理的事业单位</w:t>
      </w:r>
      <w:r>
        <w:rPr>
          <w:sz w:val="32"/>
          <w:szCs w:val="32"/>
        </w:rPr>
        <w:t>0</w:t>
      </w:r>
      <w:r>
        <w:rPr>
          <w:sz w:val="32"/>
          <w:szCs w:val="32"/>
        </w:rPr>
        <w:t>个，其他事业单位0个。</w:t>
      </w:r>
    </w:p>
    <w:p>
      <w:pPr>
        <w:pStyle w:val=""/>
        <w:spacing w:before="93"/>
        <w:rPr>
          <w:rFonts w:ascii="Times New Roman"/>
        </w:rPr>
      </w:pPr>
    </w:p>
    <w:p>
      <w:pPr>
        <w:pStyle w:val=""/>
        <w:ind w:firstLine="420"/>
        <w:spacing w:before="93"/>
        <w:rPr>
          <w:rFonts w:ascii="Times New Roman"/>
        </w:rPr>
      </w:pPr>
    </w:p>
    <w:p>
      <w:pPr>
        <w:pStyle w:val=""/>
        <w:ind w:firstLine="420"/>
        <w:spacing w:before="93"/>
        <w:rPr>
          <w:rFonts w:ascii="Times New Roman"/>
          <w:sz w:val="30"/>
          <w:szCs w:val="24"/>
        </w:rPr>
      </w:pPr>
    </w:p>
    <w:p>
      <w:pPr>
        <w:pStyle w:val="1"/>
        <w:jc w:val="center"/>
        <w:ind w:right="113"/>
      </w:pPr>
      <w:r>
        <w:rPr>
          <w:b/>
        </w:rPr>
        <w:t>第二部分 2022年度</w:t>
      </w:r>
      <w:r>
        <w:rPr>
          <w:rStyle w:val="1Char"/>
          <w:b/>
        </w:rPr>
        <w:t>部门决算情况说明</w:t>
      </w:r>
    </w:p>
    <w:p>
      <w:pPr>
        <w:pStyle w:val=""/>
        <w:numPr>
          <w:ilvl w:val="0"/>
          <w:numId w:val="309482763"/>
        </w:numPr>
        <w:ind w:left="1361"/>
        <w:spacing w:line="600" w:lineRule="exact"/>
      </w:pPr>
      <w:r>
        <w:rPr>
          <w:sz w:val="32"/>
          <w:szCs w:val="32"/>
        </w:rPr>
        <w:t>收</w:t>
      </w:r>
      <w:r>
        <w:rPr>
          <w:rStyle w:val="2Char"/>
          <w:b/>
          <w:rFonts w:ascii="Times New Roman" w:hAnsi="Times New Roman"/>
        </w:rPr>
        <w:t>入支出决算总体情况说明</w:t>
      </w:r>
    </w:p>
    <w:p>
      <w:pPr>
        <w:pStyle w:val=""/>
        <w:ind w:firstLine="640"/>
        <w:spacing w:line="600" w:lineRule="exact"/>
      </w:pPr>
      <w:r>
        <w:rPr>
          <w:sz w:val="32"/>
          <w:szCs w:val="32"/>
        </w:rPr>
        <w:t>2022年度收、支总计3172.32万元。与2021年相比，收、支总计各减少512.41万元，下降16.15%。主要变动原因人员经费增加，2021年“两房”建设支出600万元为一次性支出，2022年无该项资金所致。</w:t>
      </w:r>
    </w:p>
    <w:p>
      <w:pPr>
        <w:pStyle w:val=""/>
        <w:jc w:val="center"/>
        <w:spacing w:before="93" w:line="600" w:lineRule="exact"/>
      </w:pPr>
      <w:r>
        <w:rPr>
          <w:sz w:val="28"/>
          <w:szCs w:val="28"/>
        </w:rPr>
        <w:t>（图1：收、支决算总计变动情况图）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581660</wp:posOffset>
            </wp:positionH>
            <wp:positionV relativeFrom="paragraph">
              <wp:posOffset>81280</wp:posOffset>
            </wp:positionV>
            <wp:extent cx="4821555" cy="3562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4821555" cy="3562350"/>
                    </a:xfrm>
                    <a:prstGeom prst="rect">
                      <a:avLst/>
                    </a:prstGeom>
                    <a:noFill/>
                  </pic:spPr>
                </pic:pic>
              </a:graphicData>
            </a:graphic>
          </wp:anchor>
        </w:drawing>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jc w:val="left"/>
        <w:ind w:firstLine="640"/>
        <w:spacing w:before="93" w:line="600" w:lineRule="exact"/>
        <w:rPr>
          <w:rFonts w:ascii="Times New Roman"/>
          <w:sz w:val="32"/>
          <w:szCs w:val="32"/>
        </w:rPr>
      </w:pPr>
    </w:p>
    <w:p>
      <w:pPr>
        <w:pStyle w:val=""/>
        <w:numPr>
          <w:ilvl w:val="0"/>
          <w:numId w:val="309482763"/>
        </w:numPr>
        <w:ind w:left="1361"/>
        <w:spacing w:line="600" w:lineRule="exact"/>
      </w:pPr>
      <w:r>
        <w:rPr>
          <w:sz w:val="32"/>
          <w:szCs w:val="32"/>
        </w:rPr>
        <w:t>收</w:t>
      </w:r>
      <w:r>
        <w:rPr>
          <w:rStyle w:val="2Char"/>
          <w:b/>
          <w:rFonts w:ascii="Times New Roman" w:hAnsi="Times New Roman"/>
        </w:rPr>
        <w:t>入决算情况说明</w:t>
      </w:r>
    </w:p>
    <w:p>
      <w:pPr>
        <w:pStyle w:val=""/>
        <w:ind w:firstLine="640"/>
        <w:spacing w:before="93" w:line="600" w:lineRule="exact"/>
      </w:pPr>
      <w:r>
        <w:rPr>
          <w:sz w:val="32"/>
          <w:szCs w:val="32"/>
        </w:rPr>
        <w:t>2022年本年收入合计3172.32万元，其中：一般公共预算财政拨款收入3096.67万元，占97.62%；政府性基金预算财政拨款收入0万元，占0%；国有资本经营预算财政拨款收入0万元，占0%；上级补助收入0万元，占0%；事业收入0万元，占0%；经营收入0万元，占0%；附属单位上缴收入0万元，占0%；其他收入75.65万元，占2.38%。</w:t>
      </w:r>
    </w:p>
    <w:p>
      <w:pPr>
        <w:pStyle w:val=""/>
        <w:jc w:val="center"/>
        <w:spacing w:before="93" w:line="600" w:lineRule="exact"/>
      </w:pPr>
      <w:r>
        <w:rPr>
          <w:sz w:val="28"/>
          <w:szCs w:val="28"/>
        </w:rPr>
        <w:t>（图2：收入决算结构图）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709295</wp:posOffset>
            </wp:positionH>
            <wp:positionV relativeFrom="paragraph">
              <wp:posOffset>91440</wp:posOffset>
            </wp:positionV>
            <wp:extent cx="3957955" cy="2920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bwMode="auto">
                    <a:xfrm>
                      <a:off x="0" y="0"/>
                      <a:ext cx="3957955" cy="2920365"/>
                    </a:xfrm>
                    <a:prstGeom prst="rect">
                      <a:avLst/>
                    </a:prstGeom>
                    <a:noFill/>
                  </pic:spPr>
                </pic:pic>
              </a:graphicData>
            </a:graphic>
          </wp:anchor>
        </w:drawing>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sz w:val="30"/>
          <w:szCs w:val="24"/>
        </w:rPr>
      </w:pPr>
    </w:p>
    <w:p>
      <w:pPr>
        <w:pStyle w:val=""/>
        <w:ind w:firstLine="640"/>
        <w:spacing w:line="600" w:lineRule="exact"/>
        <w:rPr>
          <w:rFonts w:ascii="Times New Roman"/>
          <w:sz w:val="32"/>
          <w:szCs w:val="32"/>
        </w:rPr>
      </w:pPr>
    </w:p>
    <w:p>
      <w:pPr>
        <w:pStyle w:val=""/>
        <w:numPr>
          <w:ilvl w:val="0"/>
          <w:numId w:val="309482763"/>
        </w:numPr>
        <w:spacing w:line="600" w:lineRule="exact"/>
      </w:pPr>
      <w:r>
        <w:rPr>
          <w:sz w:val="32"/>
          <w:szCs w:val="32"/>
        </w:rPr>
        <w:t>支</w:t>
      </w:r>
      <w:r>
        <w:rPr>
          <w:rStyle w:val="2Char"/>
          <w:b/>
          <w:rFonts w:ascii="Times New Roman" w:hAnsi="Times New Roman"/>
        </w:rPr>
        <w:t>出决算情况说明</w:t>
      </w:r>
    </w:p>
    <w:p>
      <w:pPr>
        <w:pStyle w:val=""/>
        <w:ind w:firstLine="640"/>
        <w:spacing w:line="600" w:lineRule="exact"/>
      </w:pPr>
      <w:r>
        <w:rPr>
          <w:sz w:val="32"/>
          <w:szCs w:val="32"/>
        </w:rPr>
        <w:t>2022年本年支出合计3166.23万元，其中：基本支出2921.67万元，占92.28%；项目支出244.56万元，占7.72%；上缴上级支出0万元，占0%；经营支出0万元，占0%；对附属单位补助支出0万元，占0%。</w:t>
      </w:r>
    </w:p>
    <w:p>
      <w:pPr>
        <w:pStyle w:val=""/>
        <w:spacing w:before="93"/>
        <w:rPr>
          <w:rFonts w:ascii="Times New Roman"/>
          <w:sz w:val="32"/>
          <w:szCs w:val="32"/>
        </w:rPr>
      </w:pPr>
    </w:p>
    <w:p>
      <w:pPr>
        <w:pStyle w:val=""/>
        <w:spacing w:before="93"/>
        <w:rPr>
          <w:rFonts w:ascii="Times New Roman"/>
          <w:sz w:val="32"/>
          <w:szCs w:val="32"/>
        </w:rPr>
      </w:pPr>
    </w:p>
    <w:p>
      <w:pPr>
        <w:pStyle w:val=""/>
        <w:jc w:val="center"/>
        <w:spacing w:before="93" w:line="600" w:lineRule="exact"/>
      </w:pPr>
      <w:r>
        <w:rPr>
          <w:sz w:val="28"/>
          <w:szCs w:val="28"/>
        </w:rPr>
        <w:t>（图3：支出决算结构图）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993775</wp:posOffset>
            </wp:positionH>
            <wp:positionV relativeFrom="paragraph">
              <wp:posOffset>29210</wp:posOffset>
            </wp:positionV>
            <wp:extent cx="3511550" cy="2735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stretch>
                      <a:fillRect/>
                    </a:stretch>
                  </pic:blipFill>
                  <pic:spPr bwMode="auto">
                    <a:xfrm>
                      <a:off x="0" y="0"/>
                      <a:ext cx="3511550" cy="2735580"/>
                    </a:xfrm>
                    <a:prstGeom prst="rect">
                      <a:avLst/>
                    </a:prstGeom>
                    <a:noFill/>
                  </pic:spPr>
                </pic:pic>
              </a:graphicData>
            </a:graphic>
          </wp:anchor>
        </w:drawing>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ind w:firstLine="640"/>
        <w:spacing w:before="93" w:line="600" w:lineRule="exact"/>
        <w:rPr>
          <w:rFonts w:ascii="Times New Roman"/>
          <w:sz w:val="32"/>
          <w:szCs w:val="32"/>
        </w:rPr>
      </w:pPr>
    </w:p>
    <w:p>
      <w:pPr>
        <w:pStyle w:val=""/>
        <w:ind w:firstLine="640"/>
        <w:spacing w:line="600" w:lineRule="exact"/>
      </w:pPr>
      <w:r>
        <w:rPr>
          <w:sz w:val="32"/>
          <w:szCs w:val="32"/>
        </w:rPr>
        <w:t>四、财</w:t>
      </w:r>
      <w:r>
        <w:rPr>
          <w:rStyle w:val="2Char"/>
          <w:b/>
          <w:rFonts w:ascii="Times New Roman" w:hAnsi="Times New Roman"/>
        </w:rPr>
        <w:t>政拨款收入支出决算总体情况说明</w:t>
      </w:r>
    </w:p>
    <w:p>
      <w:pPr>
        <w:pStyle w:val=""/>
        <w:ind w:firstLine="641"/>
        <w:spacing w:line="600" w:lineRule="exact"/>
      </w:pPr>
      <w:r>
        <w:rPr>
          <w:sz w:val="32"/>
          <w:szCs w:val="32"/>
        </w:rPr>
        <w:t>2022年财政拨款收、支总计3096.67万元。与2021年相比，财政拨款收、支总计各减少548.36万元，下降15.04%。主要变动原因是相比2021年财政拨款收支构成，2022年减少“两房”建设项目资金600万元。</w:t>
      </w:r>
    </w:p>
    <w:p>
      <w:pPr>
        <w:pStyle w:val=""/>
        <w:jc w:val="center"/>
        <w:spacing w:before="93" w:line="600" w:lineRule="exact"/>
      </w:pPr>
      <w:r>
        <w:rPr>
          <w:sz w:val="28"/>
          <w:szCs w:val="28"/>
        </w:rPr>
        <w:t>（图4：财政拨款收、支决算总计变动情况图）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859790</wp:posOffset>
            </wp:positionH>
            <wp:positionV relativeFrom="paragraph">
              <wp:posOffset>30480</wp:posOffset>
            </wp:positionV>
            <wp:extent cx="3834765" cy="2593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a:fillRect/>
                    </a:stretch>
                  </pic:blipFill>
                  <pic:spPr bwMode="auto">
                    <a:xfrm>
                      <a:off x="0" y="0"/>
                      <a:ext cx="3834765" cy="2593340"/>
                    </a:xfrm>
                    <a:prstGeom prst="rect">
                      <a:avLst/>
                    </a:prstGeom>
                    <a:noFill/>
                  </pic:spPr>
                </pic:pic>
              </a:graphicData>
            </a:graphic>
          </wp:anchor>
        </w:drawing>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sz w:val="30"/>
          <w:szCs w:val="24"/>
        </w:rPr>
      </w:pPr>
    </w:p>
    <w:p>
      <w:pPr>
        <w:pStyle w:val=""/>
        <w:spacing w:before="93"/>
        <w:rPr>
          <w:b/>
          <w:rFonts w:ascii="Times New Roman"/>
          <w:sz w:val="32"/>
          <w:szCs w:val="32"/>
        </w:rPr>
      </w:pPr>
    </w:p>
    <w:p>
      <w:pPr>
        <w:pStyle w:val=""/>
        <w:ind w:firstLine="640"/>
        <w:spacing w:line="600" w:lineRule="exact"/>
      </w:pPr>
      <w:r>
        <w:rPr>
          <w:sz w:val="32"/>
          <w:szCs w:val="32"/>
        </w:rPr>
        <w:t>五、</w:t>
      </w:r>
      <w:r>
        <w:rPr>
          <w:b/>
          <w:sz w:val="32"/>
          <w:szCs w:val="32"/>
        </w:rPr>
        <w:t>一</w:t>
      </w:r>
      <w:r>
        <w:rPr>
          <w:rStyle w:val="2Char"/>
          <w:b/>
          <w:rFonts w:ascii="Times New Roman" w:hAnsi="Times New Roman"/>
        </w:rPr>
        <w:t>般公共预算财政拨款支出决算情况说明</w:t>
      </w:r>
    </w:p>
    <w:p>
      <w:pPr>
        <w:pStyle w:val=""/>
        <w:ind w:firstLine="643"/>
        <w:spacing w:line="600" w:lineRule="exact"/>
      </w:pPr>
      <w:r>
        <w:rPr>
          <w:b/>
          <w:sz w:val="32"/>
          <w:szCs w:val="32"/>
        </w:rPr>
        <w:t>（一）一般公共预算财政拨款支出决算总体情况</w:t>
      </w:r>
    </w:p>
    <w:p>
      <w:pPr>
        <w:pStyle w:val=""/>
        <w:ind w:firstLine="640"/>
        <w:spacing w:line="600" w:lineRule="exact"/>
      </w:pPr>
      <w:r>
        <w:rPr>
          <w:sz w:val="32"/>
          <w:szCs w:val="32"/>
        </w:rPr>
        <w:t>2022年一般公共预算财政拨款支出3166.23万元，占本年支出合计的99.81%。与2021年相比，一般公共预算财政拨款支出减少457.78万元，下降12.63%。主要变动原因是“两房”建设项目支出减少。</w:t>
      </w:r>
    </w:p>
    <w:p>
      <w:pPr>
        <w:pStyle w:val=""/>
        <w:jc w:val="center"/>
        <w:ind w:firstLine="560"/>
        <w:spacing w:before="93" w:line="600" w:lineRule="exact"/>
      </w:pPr>
      <w:r>
        <w:rPr>
          <w:sz w:val="28"/>
          <w:szCs w:val="28"/>
        </w:rPr>
        <w:t>（图5：一般公共预算财政拨款支出决算变动情况图）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587375</wp:posOffset>
            </wp:positionH>
            <wp:positionV relativeFrom="paragraph">
              <wp:posOffset>176530</wp:posOffset>
            </wp:positionV>
            <wp:extent cx="4326255" cy="29476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stretch>
                      <a:fillRect/>
                    </a:stretch>
                  </pic:blipFill>
                  <pic:spPr bwMode="auto">
                    <a:xfrm>
                      <a:off x="0" y="0"/>
                      <a:ext cx="4326255" cy="2947670"/>
                    </a:xfrm>
                    <a:prstGeom prst="rect">
                      <a:avLst/>
                    </a:prstGeom>
                    <a:noFill/>
                  </pic:spPr>
                </pic:pic>
              </a:graphicData>
            </a:graphic>
          </wp:anchor>
        </w:drawing>
      </w:r>
    </w:p>
    <w:p>
      <w:pPr>
        <w:pStyle w:val=""/>
        <w:ind w:firstLine="420"/>
        <w:spacing w:before="93"/>
        <w:rPr>
          <w:rFonts w:ascii="Times New Roman"/>
        </w:rPr>
      </w:pPr>
    </w:p>
    <w:p>
      <w:pPr>
        <w:pStyle w:val=""/>
        <w:ind w:firstLine="420"/>
        <w:spacing w:before="93"/>
        <w:rPr>
          <w:rFonts w:ascii="Times New Roman"/>
          <w:sz w:val="30"/>
          <w:szCs w:val="24"/>
        </w:rPr>
      </w:pPr>
    </w:p>
    <w:p>
      <w:pPr>
        <w:pStyle w:val=""/>
        <w:spacing w:before="93"/>
        <w:rPr>
          <w:rFonts w:ascii="Times New Roman"/>
          <w:sz w:val="32"/>
          <w:szCs w:val="32"/>
        </w:rPr>
      </w:pPr>
    </w:p>
    <w:p>
      <w:pPr>
        <w:pStyle w:val=""/>
        <w:spacing w:before="93"/>
        <w:rPr>
          <w:rFonts w:ascii="Times New Roman"/>
          <w:sz w:val="32"/>
          <w:szCs w:val="32"/>
        </w:rPr>
      </w:pPr>
    </w:p>
    <w:p>
      <w:pPr>
        <w:pStyle w:val=""/>
        <w:spacing w:before="93"/>
        <w:rPr>
          <w:rFonts w:ascii="Times New Roman"/>
          <w:sz w:val="32"/>
          <w:szCs w:val="32"/>
        </w:rPr>
      </w:pPr>
    </w:p>
    <w:p>
      <w:pPr>
        <w:pStyle w:val=""/>
        <w:spacing w:before="93"/>
        <w:rPr>
          <w:rFonts w:ascii="Times New Roman"/>
          <w:sz w:val="32"/>
          <w:szCs w:val="32"/>
        </w:rPr>
      </w:pPr>
    </w:p>
    <w:p>
      <w:pPr>
        <w:pStyle w:val=""/>
        <w:spacing w:before="93"/>
        <w:rPr>
          <w:rFonts w:ascii="Times New Roman"/>
          <w:sz w:val="32"/>
          <w:szCs w:val="32"/>
        </w:rPr>
      </w:pPr>
    </w:p>
    <w:p>
      <w:pPr>
        <w:pStyle w:val=""/>
        <w:ind w:firstLine="643"/>
        <w:spacing w:line="600" w:lineRule="exact"/>
      </w:pPr>
      <w:r>
        <w:rPr>
          <w:b/>
          <w:sz w:val="32"/>
          <w:szCs w:val="32"/>
        </w:rPr>
        <w:t>（二）一般公共预算财政拨款支出决算结构情况</w:t>
      </w:r>
    </w:p>
    <w:p>
      <w:pPr>
        <w:pStyle w:val=""/>
        <w:spacing w:before="93"/>
        <w:rPr>
          <w:rFonts w:ascii="Times New Roman"/>
        </w:rPr>
      </w:pPr>
      <w:r>
        <w:rPr>
          <w:rFonts w:ascii="Times New Roman"/>
          <w:sz w:val="32"/>
          <w:szCs w:val="32"/>
        </w:rPr>
        <w:t xml:space="preserve">    </w:t>
      </w:r>
      <w:r>
        <w:rPr>
          <w:rFonts w:ascii="Times New Roman"/>
          <w:sz w:val="32"/>
          <w:szCs w:val="32"/>
        </w:rPr>
        <w:t>2022年一般公共预算财政拨款支出3166.23万元，主要用于以下方面:</w:t>
      </w:r>
      <w:r>
        <w:rPr>
          <w:b/>
          <w:rFonts w:ascii="Times New Roman"/>
          <w:sz w:val="32"/>
          <w:szCs w:val="32"/>
        </w:rPr>
        <w:t>一般公共服务</w:t>
      </w:r>
      <w:r>
        <w:rPr>
          <w:b/>
          <w:rFonts w:ascii="Times New Roman"/>
          <w:sz w:val="32"/>
          <w:szCs w:val="32"/>
        </w:rPr>
        <w:t>支出</w:t>
      </w:r>
      <w:r>
        <w:rPr>
          <w:rFonts w:ascii="Times New Roman"/>
          <w:sz w:val="32"/>
          <w:szCs w:val="32"/>
        </w:rPr>
        <w:t>2.62万元，占0.08%；</w:t>
      </w:r>
      <w:r>
        <w:rPr>
          <w:b/>
          <w:rFonts w:ascii="Times New Roman"/>
          <w:sz w:val="32"/>
          <w:szCs w:val="32"/>
        </w:rPr>
        <w:t>公共安全支出</w:t>
      </w:r>
      <w:r>
        <w:rPr>
          <w:rFonts w:ascii="Times New Roman"/>
          <w:sz w:val="32"/>
          <w:szCs w:val="32"/>
        </w:rPr>
        <w:t>2537.07</w:t>
      </w:r>
      <w:r>
        <w:rPr>
          <w:rFonts w:ascii="Times New Roman"/>
          <w:sz w:val="32"/>
          <w:szCs w:val="32"/>
        </w:rPr>
        <w:t>万元，占80.13%；</w:t>
      </w:r>
      <w:r>
        <w:rPr>
          <w:b/>
          <w:rFonts w:ascii="Times New Roman"/>
          <w:sz w:val="32"/>
          <w:szCs w:val="32"/>
        </w:rPr>
        <w:t>社会保障和就业支出</w:t>
      </w:r>
      <w:r>
        <w:rPr>
          <w:rFonts w:ascii="Times New Roman"/>
          <w:sz w:val="32"/>
          <w:szCs w:val="32"/>
        </w:rPr>
        <w:t>420.61</w:t>
      </w:r>
      <w:r>
        <w:rPr>
          <w:rFonts w:ascii="Times New Roman"/>
          <w:sz w:val="32"/>
          <w:szCs w:val="32"/>
        </w:rPr>
        <w:t>万元，占13.29%；</w:t>
      </w:r>
      <w:r>
        <w:rPr>
          <w:b/>
          <w:rFonts w:ascii="Times New Roman"/>
          <w:sz w:val="32"/>
          <w:szCs w:val="32"/>
        </w:rPr>
        <w:t>住房保障支出</w:t>
      </w:r>
      <w:r>
        <w:rPr>
          <w:rFonts w:ascii="Times New Roman"/>
          <w:sz w:val="32"/>
          <w:szCs w:val="32"/>
        </w:rPr>
        <w:t>205.93万元，占6.50%。</w:t>
      </w:r>
    </w:p>
    <w:p>
      <w:pPr>
        <w:pStyle w:val=""/>
        <w:jc w:val="center"/>
        <w:spacing w:before="93" w:line="600" w:lineRule="exact"/>
      </w:pPr>
      <w:r>
        <w:rPr>
          <w:sz w:val="28"/>
          <w:szCs w:val="28"/>
        </w:rPr>
        <w:t>（图6：一般公共预算财政拨款支出决算结构图）</w:t>
      </w:r>
    </w:p>
    <w:p>
      <w:pPr>
        <w:pStyle w:val=""/>
        <w:spacing w:before="93"/>
        <w:rPr>
          <w:rFonts w:ascii="Times New Roman"/>
        </w:rPr>
      </w:pPr>
      <w:r>
        <w:rPr>
          <w:noProof/>
        </w:rPr>
        <w:drawing>
          <wp:anchor distT="0" distB="0" distL="0" distR="0" simplePos="0" relativeHeight="251658240" behindDoc="0" locked="0" layoutInCell="1" allowOverlap="1" wp14:anchorId="7DEABBC1" wp14:editId="3131C523">
            <wp:simplePos x="0" y="0"/>
            <wp:positionH relativeFrom="column">
              <wp:posOffset>546100</wp:posOffset>
            </wp:positionH>
            <wp:positionV relativeFrom="paragraph">
              <wp:posOffset>112395</wp:posOffset>
            </wp:positionV>
            <wp:extent cx="4517390" cy="2988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stretch>
                      <a:fillRect/>
                    </a:stretch>
                  </pic:blipFill>
                  <pic:spPr bwMode="auto">
                    <a:xfrm>
                      <a:off x="0" y="0"/>
                      <a:ext cx="4517390" cy="2988945"/>
                    </a:xfrm>
                    <a:prstGeom prst="rect">
                      <a:avLst/>
                    </a:prstGeom>
                    <a:noFill/>
                  </pic:spPr>
                </pic:pic>
              </a:graphicData>
            </a:graphic>
          </wp:anchor>
        </w:drawing>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sz w:val="30"/>
          <w:szCs w:val="24"/>
        </w:rPr>
      </w:pPr>
    </w:p>
    <w:p>
      <w:pPr>
        <w:pStyle w:val=""/>
        <w:spacing w:before="93"/>
        <w:rPr>
          <w:rFonts w:ascii="Times New Roman"/>
          <w:sz w:val="30"/>
          <w:szCs w:val="24"/>
        </w:rPr>
      </w:pPr>
    </w:p>
    <w:p>
      <w:pPr>
        <w:pStyle w:val=""/>
        <w:spacing w:before="93"/>
        <w:rPr>
          <w:rFonts w:ascii="Times New Roman"/>
          <w:sz w:val="30"/>
          <w:szCs w:val="24"/>
        </w:rPr>
      </w:pPr>
    </w:p>
    <w:p>
      <w:pPr>
        <w:pStyle w:val=""/>
        <w:spacing w:before="93"/>
        <w:rPr>
          <w:rFonts w:ascii="Times New Roman"/>
          <w:sz w:val="32"/>
          <w:szCs w:val="32"/>
        </w:rPr>
      </w:pPr>
    </w:p>
    <w:p>
      <w:pPr>
        <w:pStyle w:val=""/>
        <w:ind w:firstLine="643"/>
        <w:spacing w:line="600" w:lineRule="exact"/>
      </w:pPr>
      <w:r>
        <w:rPr>
          <w:b/>
          <w:sz w:val="32"/>
          <w:szCs w:val="32"/>
        </w:rPr>
        <w:t>（三）一般公共预算财政拨款支出决算具体情况</w:t>
      </w:r>
    </w:p>
    <w:p>
      <w:pPr>
        <w:pStyle w:val=""/>
        <w:ind w:firstLine="640"/>
        <w:spacing w:line="600" w:lineRule="exact"/>
        <w:rPr>
          <w:b/>
          <w:sz w:val="32"/>
          <w:szCs w:val="32"/>
        </w:rPr>
      </w:pPr>
      <w:r>
        <w:rPr>
          <w:sz w:val="32"/>
          <w:szCs w:val="32"/>
        </w:rPr>
        <w:t>2022年一般公共预算支出决算数为3166.23万元，</w:t>
      </w:r>
      <w:r>
        <w:rPr>
          <w:rStyle w:val=""/>
          <w:b/>
          <w:sz w:val="32"/>
          <w:szCs w:val="32"/>
        </w:rPr>
        <w:t>完成预算99.81%。其中：</w:t>
      </w:r>
    </w:p>
    <w:p>
      <w:pPr>
        <w:pStyle w:val=""/>
        <w:ind w:firstLine="643"/>
        <w:spacing w:line="600" w:lineRule="exact"/>
        <w:rPr>
          <w:b/>
          <w:sz w:val="32"/>
          <w:szCs w:val="32"/>
        </w:rPr>
      </w:pPr>
      <w:r>
        <w:rPr>
          <w:rStyle w:val=""/>
          <w:sz w:val="32"/>
          <w:szCs w:val="32"/>
        </w:rPr>
        <w:t>1.</w:t>
      </w:r>
      <w:r>
        <w:rPr>
          <w:rStyle w:val=""/>
          <w:sz w:val="32"/>
          <w:szCs w:val="32"/>
        </w:rPr>
        <w:t xml:space="preserve"> </w:t>
      </w:r>
      <w:r>
        <w:rPr>
          <w:rStyle w:val=""/>
          <w:sz w:val="32"/>
          <w:szCs w:val="32"/>
        </w:rPr>
        <w:t>一般公共服务（类）</w:t>
      </w:r>
      <w:r>
        <w:rPr>
          <w:rStyle w:val=""/>
          <w:color w:val="000000"/>
          <w:sz w:val="32"/>
          <w:szCs w:val="32"/>
        </w:rPr>
        <w:t>组织事务</w:t>
      </w:r>
      <w:r>
        <w:rPr>
          <w:rStyle w:val=""/>
          <w:sz w:val="32"/>
          <w:szCs w:val="32"/>
        </w:rPr>
        <w:t>（款）</w:t>
      </w:r>
      <w:r>
        <w:rPr>
          <w:rStyle w:val=""/>
          <w:color w:val="000000"/>
          <w:sz w:val="32"/>
          <w:szCs w:val="32"/>
        </w:rPr>
        <w:t>其他组织事务支出</w:t>
      </w:r>
      <w:r>
        <w:rPr>
          <w:rStyle w:val=""/>
          <w:sz w:val="32"/>
          <w:szCs w:val="32"/>
        </w:rPr>
        <w:t>（项）:</w:t>
      </w:r>
      <w:r>
        <w:rPr>
          <w:rStyle w:val=""/>
          <w:b/>
          <w:sz w:val="32"/>
          <w:szCs w:val="32"/>
        </w:rPr>
        <w:t>支出决算为2.62万元，完成预算100%。</w:t>
      </w:r>
    </w:p>
    <w:p>
      <w:pPr>
        <w:pStyle w:val=""/>
        <w:ind w:firstLine="643"/>
        <w:spacing w:line="600" w:lineRule="exact"/>
        <w:rPr>
          <w:b/>
          <w:sz w:val="32"/>
          <w:szCs w:val="32"/>
        </w:rPr>
      </w:pPr>
      <w:r>
        <w:rPr>
          <w:rStyle w:val=""/>
          <w:sz w:val="32"/>
          <w:szCs w:val="32"/>
        </w:rPr>
        <w:t>2.</w:t>
      </w:r>
      <w:r>
        <w:rPr>
          <w:rStyle w:val=""/>
          <w:sz w:val="32"/>
          <w:szCs w:val="32"/>
        </w:rPr>
        <w:t xml:space="preserve"> </w:t>
      </w:r>
      <w:r>
        <w:rPr>
          <w:b/>
          <w:color w:val="000000"/>
          <w:sz w:val="32"/>
          <w:szCs w:val="32"/>
        </w:rPr>
        <w:t>公共安全（类）国家安全</w:t>
      </w:r>
      <w:r>
        <w:rPr>
          <w:rStyle w:val=""/>
          <w:color w:val="000000"/>
          <w:sz w:val="32"/>
          <w:szCs w:val="32"/>
        </w:rPr>
        <w:t>（款）行政运行（项）</w:t>
      </w:r>
      <w:r>
        <w:rPr>
          <w:rStyle w:val=""/>
          <w:sz w:val="32"/>
          <w:szCs w:val="32"/>
        </w:rPr>
        <w:t>:</w:t>
      </w:r>
      <w:r>
        <w:rPr>
          <w:rStyle w:val=""/>
          <w:b/>
          <w:sz w:val="32"/>
          <w:szCs w:val="32"/>
        </w:rPr>
        <w:t>支出决算为35.08万元，完成预算100%。</w:t>
      </w:r>
    </w:p>
    <w:p>
      <w:pPr>
        <w:pStyle w:val=""/>
        <w:ind w:firstLine="643"/>
        <w:spacing w:line="600" w:lineRule="exact"/>
        <w:rPr>
          <w:b/>
          <w:sz w:val="32"/>
          <w:szCs w:val="32"/>
        </w:rPr>
      </w:pPr>
      <w:r>
        <w:rPr>
          <w:rStyle w:val=""/>
          <w:sz w:val="32"/>
          <w:szCs w:val="32"/>
        </w:rPr>
        <w:t>3.</w:t>
      </w:r>
      <w:r>
        <w:rPr>
          <w:rStyle w:val=""/>
          <w:sz w:val="32"/>
          <w:szCs w:val="32"/>
        </w:rPr>
        <w:t xml:space="preserve"> </w:t>
      </w:r>
      <w:r>
        <w:rPr>
          <w:b/>
          <w:color w:val="000000"/>
          <w:sz w:val="32"/>
          <w:szCs w:val="32"/>
        </w:rPr>
        <w:t>公共安全（类）检察</w:t>
      </w:r>
      <w:r>
        <w:rPr>
          <w:rStyle w:val=""/>
          <w:color w:val="000000"/>
          <w:sz w:val="32"/>
          <w:szCs w:val="32"/>
        </w:rPr>
        <w:t>（款）行政运行（项）</w:t>
      </w:r>
      <w:r>
        <w:rPr>
          <w:rStyle w:val=""/>
          <w:sz w:val="32"/>
          <w:szCs w:val="32"/>
        </w:rPr>
        <w:t>:</w:t>
      </w:r>
      <w:r>
        <w:rPr>
          <w:rStyle w:val=""/>
          <w:b/>
          <w:sz w:val="32"/>
          <w:szCs w:val="32"/>
        </w:rPr>
        <w:t>支出决算为2260.96万元，完成预算100%。</w:t>
      </w:r>
    </w:p>
    <w:p>
      <w:pPr>
        <w:pStyle w:val=""/>
        <w:ind w:firstLine="643"/>
        <w:spacing w:line="600" w:lineRule="exact"/>
      </w:pPr>
      <w:r>
        <w:rPr>
          <w:rStyle w:val=""/>
          <w:sz w:val="32"/>
          <w:szCs w:val="32"/>
        </w:rPr>
        <w:t>4.</w:t>
      </w:r>
      <w:r>
        <w:rPr>
          <w:rStyle w:val=""/>
          <w:sz w:val="32"/>
          <w:szCs w:val="32"/>
        </w:rPr>
        <w:t xml:space="preserve"> </w:t>
      </w:r>
      <w:r>
        <w:rPr>
          <w:b/>
          <w:color w:val="000000"/>
          <w:sz w:val="32"/>
          <w:szCs w:val="32"/>
        </w:rPr>
        <w:t>公共安全（类）检察</w:t>
      </w:r>
      <w:r>
        <w:rPr>
          <w:rStyle w:val=""/>
          <w:color w:val="000000"/>
          <w:sz w:val="32"/>
          <w:szCs w:val="32"/>
        </w:rPr>
        <w:t>（款）一般行政管理事务（项）</w:t>
      </w:r>
      <w:r>
        <w:rPr>
          <w:rStyle w:val=""/>
          <w:sz w:val="32"/>
          <w:szCs w:val="32"/>
        </w:rPr>
        <w:t>:</w:t>
      </w:r>
      <w:r>
        <w:rPr>
          <w:sz w:val="32"/>
          <w:szCs w:val="32"/>
        </w:rPr>
        <w:t>支出决算为143.06万元，完成预算95.92%，决算数小于预算数的主要原因是结转6.09万元中央政法纪检监察转移支付资金。</w:t>
      </w:r>
    </w:p>
    <w:p>
      <w:pPr>
        <w:pStyle w:val=""/>
        <w:ind w:firstLine="643"/>
        <w:spacing w:line="600" w:lineRule="exact"/>
        <w:rPr>
          <w:b/>
          <w:sz w:val="32"/>
          <w:szCs w:val="32"/>
        </w:rPr>
      </w:pPr>
      <w:r>
        <w:rPr>
          <w:rStyle w:val=""/>
          <w:sz w:val="32"/>
          <w:szCs w:val="32"/>
        </w:rPr>
        <w:t>5.</w:t>
      </w:r>
      <w:r>
        <w:rPr>
          <w:rStyle w:val=""/>
          <w:sz w:val="32"/>
          <w:szCs w:val="32"/>
        </w:rPr>
        <w:t xml:space="preserve"> </w:t>
      </w:r>
      <w:r>
        <w:rPr>
          <w:b/>
          <w:color w:val="000000"/>
          <w:sz w:val="32"/>
          <w:szCs w:val="32"/>
        </w:rPr>
        <w:t>公共安全（类）其他公共安全支出</w:t>
      </w:r>
      <w:r>
        <w:rPr>
          <w:rStyle w:val=""/>
          <w:color w:val="000000"/>
          <w:sz w:val="32"/>
          <w:szCs w:val="32"/>
        </w:rPr>
        <w:t>（款）其他公共安全支出（项）</w:t>
      </w:r>
      <w:r>
        <w:rPr>
          <w:rStyle w:val=""/>
          <w:sz w:val="32"/>
          <w:szCs w:val="32"/>
        </w:rPr>
        <w:t>:</w:t>
      </w:r>
      <w:r>
        <w:rPr>
          <w:rStyle w:val=""/>
          <w:b/>
          <w:sz w:val="32"/>
          <w:szCs w:val="32"/>
        </w:rPr>
        <w:t>支出决算为97.97万元，完成预算100%。</w:t>
      </w:r>
    </w:p>
    <w:p>
      <w:pPr>
        <w:pStyle w:val=""/>
        <w:ind w:firstLine="643"/>
        <w:spacing w:line="600" w:lineRule="exact"/>
        <w:rPr>
          <w:b/>
          <w:sz w:val="32"/>
          <w:szCs w:val="32"/>
        </w:rPr>
      </w:pPr>
      <w:r>
        <w:rPr>
          <w:rStyle w:val=""/>
          <w:sz w:val="32"/>
          <w:szCs w:val="32"/>
        </w:rPr>
        <w:t>6.</w:t>
      </w:r>
      <w:r>
        <w:rPr>
          <w:rStyle w:val=""/>
          <w:sz w:val="32"/>
          <w:szCs w:val="32"/>
        </w:rPr>
        <w:t xml:space="preserve"> </w:t>
      </w:r>
      <w:r>
        <w:rPr>
          <w:rStyle w:val=""/>
          <w:color w:val="000000"/>
          <w:sz w:val="32"/>
          <w:szCs w:val="32"/>
        </w:rPr>
        <w:t>社会保障和就业（类）行政事业单位养老支出（款）行政单位离退休（项）</w:t>
      </w:r>
      <w:r>
        <w:rPr>
          <w:rStyle w:val=""/>
          <w:sz w:val="32"/>
          <w:szCs w:val="32"/>
        </w:rPr>
        <w:t>:</w:t>
      </w:r>
      <w:r>
        <w:rPr>
          <w:rStyle w:val=""/>
          <w:b/>
          <w:sz w:val="32"/>
          <w:szCs w:val="32"/>
        </w:rPr>
        <w:t>支出决算为267.58万元，完成预算100%。</w:t>
      </w:r>
    </w:p>
    <w:p>
      <w:pPr>
        <w:pStyle w:val=""/>
        <w:ind w:firstLine="643"/>
        <w:spacing w:before="93" w:line="580" w:lineRule="exact"/>
        <w:rPr>
          <w:b/>
          <w:rFonts w:ascii="Times New Roman"/>
          <w:sz w:val="32"/>
          <w:szCs w:val="32"/>
        </w:rPr>
      </w:pPr>
      <w:r>
        <w:rPr>
          <w:rStyle w:val=""/>
          <w:rFonts w:ascii="Times New Roman"/>
          <w:sz w:val="32"/>
          <w:szCs w:val="32"/>
        </w:rPr>
        <w:t>7.</w:t>
      </w:r>
      <w:r>
        <w:rPr>
          <w:rStyle w:val=""/>
          <w:rFonts w:ascii="Times New Roman"/>
          <w:sz w:val="32"/>
          <w:szCs w:val="32"/>
        </w:rPr>
        <w:t xml:space="preserve"> </w:t>
      </w:r>
      <w:r>
        <w:rPr>
          <w:rStyle w:val=""/>
          <w:color w:val="000000"/>
          <w:rFonts w:ascii="Times New Roman"/>
          <w:sz w:val="32"/>
          <w:szCs w:val="32"/>
        </w:rPr>
        <w:t>社会保障和就业（类）行政事业单位养老支出（款）机关事业单位养老保险缴费支出（项）：</w:t>
      </w:r>
      <w:r>
        <w:rPr>
          <w:rStyle w:val=""/>
          <w:b/>
          <w:rFonts w:ascii="Times New Roman"/>
          <w:sz w:val="32"/>
          <w:szCs w:val="32"/>
        </w:rPr>
        <w:t>支出决算为151.63万元，完成预算100%。</w:t>
      </w:r>
    </w:p>
    <w:p>
      <w:pPr>
        <w:pStyle w:val=""/>
        <w:ind w:firstLine="643"/>
        <w:spacing w:before="93" w:line="580" w:lineRule="exact"/>
      </w:pPr>
      <w:r>
        <w:rPr>
          <w:rStyle w:val=""/>
          <w:color w:val="000000"/>
          <w:rFonts w:ascii="Times New Roman"/>
          <w:sz w:val="32"/>
          <w:szCs w:val="32"/>
        </w:rPr>
        <w:t>8. 社会保障和就业（类）抚恤（款）死亡抚恤（项）:</w:t>
      </w:r>
      <w:r>
        <w:rPr>
          <w:rStyle w:val=""/>
          <w:b/>
          <w:rFonts w:ascii="Times New Roman"/>
          <w:sz w:val="32"/>
          <w:szCs w:val="32"/>
        </w:rPr>
        <w:t>支出决算为0.50万元，完成预算100%。</w:t>
      </w:r>
    </w:p>
    <w:p>
      <w:pPr>
        <w:pStyle w:val=""/>
        <w:ind w:firstLine="643"/>
        <w:spacing w:before="93" w:line="580" w:lineRule="exact"/>
      </w:pPr>
      <w:r>
        <w:rPr>
          <w:rStyle w:val=""/>
          <w:color w:val="000000"/>
          <w:rFonts w:ascii="Times New Roman"/>
          <w:sz w:val="32"/>
          <w:szCs w:val="32"/>
        </w:rPr>
        <w:t>9. 社会保障和就业（类）儿童福利（款）儿童福利（项）:</w:t>
      </w:r>
      <w:r>
        <w:rPr>
          <w:rStyle w:val=""/>
          <w:b/>
          <w:rFonts w:ascii="Times New Roman"/>
          <w:sz w:val="32"/>
          <w:szCs w:val="32"/>
        </w:rPr>
        <w:t>支出决算为0.91万元，完成预算100%。</w:t>
      </w:r>
    </w:p>
    <w:p>
      <w:pPr>
        <w:pStyle w:val=""/>
        <w:ind w:firstLine="643"/>
        <w:spacing w:line="580" w:lineRule="exact"/>
        <w:rPr>
          <w:b/>
          <w:color w:val="000000"/>
          <w:sz w:val="32"/>
          <w:szCs w:val="32"/>
        </w:rPr>
      </w:pPr>
      <w:r>
        <w:rPr>
          <w:rStyle w:val=""/>
          <w:color w:val="000000"/>
          <w:sz w:val="32"/>
          <w:szCs w:val="32"/>
        </w:rPr>
        <w:t>10.</w:t>
      </w:r>
      <w:r>
        <w:rPr>
          <w:rStyle w:val=""/>
          <w:color w:val="000000"/>
          <w:sz w:val="32"/>
          <w:szCs w:val="32"/>
        </w:rPr>
        <w:t xml:space="preserve"> </w:t>
      </w:r>
      <w:r>
        <w:rPr>
          <w:rStyle w:val=""/>
          <w:color w:val="000000"/>
          <w:sz w:val="32"/>
          <w:szCs w:val="32"/>
        </w:rPr>
        <w:t>住房保障支出（类）住房改革支出（款）住房公积金（项）:</w:t>
      </w:r>
      <w:r>
        <w:rPr>
          <w:rStyle w:val=""/>
          <w:b/>
          <w:color w:val="000000"/>
          <w:sz w:val="32"/>
          <w:szCs w:val="32"/>
        </w:rPr>
        <w:t>支出决算为205.93万元，完成预算100%。</w:t>
      </w:r>
    </w:p>
    <w:p>
      <w:pPr>
        <w:pStyle w:val=""/>
        <w:ind w:firstLine="641"/>
        <w:spacing w:line="580" w:lineRule="exact"/>
        <w:rPr>
          <w:rFonts w:ascii="Times New Roman" w:hAnsi="Times New Roman"/>
        </w:rPr>
      </w:pPr>
      <w:r>
        <w:rPr>
          <w:sz w:val="32"/>
          <w:szCs w:val="32"/>
        </w:rPr>
        <w:t>六</w:t>
      </w:r>
      <w:r>
        <w:rPr>
          <w:b/>
          <w:sz w:val="32"/>
          <w:szCs w:val="32"/>
        </w:rPr>
        <w:t>、一</w:t>
      </w:r>
      <w:r>
        <w:rPr>
          <w:rStyle w:val="2Char"/>
          <w:b/>
          <w:rFonts w:ascii="Times New Roman" w:hAnsi="Times New Roman"/>
        </w:rPr>
        <w:t>般公共预算财政拨款基本支出决算情况说明</w:t>
      </w:r>
      <w:r>
        <w:rPr>
          <w:rStyle w:val="2Char"/>
          <w:b/>
          <w:rFonts w:ascii="Times New Roman" w:hAnsi="Times New Roman"/>
        </w:rPr>
        <w:tab/>
      </w:r>
    </w:p>
    <w:p>
      <w:pPr>
        <w:pStyle w:val=""/>
        <w:ind w:firstLine="645"/>
        <w:spacing w:line="580" w:lineRule="exact"/>
      </w:pPr>
      <w:r>
        <w:rPr>
          <w:sz w:val="32"/>
          <w:szCs w:val="32"/>
        </w:rPr>
        <w:t>2</w:t>
      </w:r>
      <w:r>
        <w:rPr>
          <w:sz w:val="32"/>
          <w:szCs w:val="32"/>
        </w:rPr>
        <w:t>022年一般公共预算财政拨款基本支出2921.67万元，其中：</w:t>
      </w:r>
    </w:p>
    <w:p>
      <w:pPr>
        <w:pStyle w:val=""/>
        <w:ind w:firstLine="645"/>
        <w:spacing w:line="580" w:lineRule="exact"/>
        <w:rPr>
          <w:sz w:val="32"/>
          <w:szCs w:val="32"/>
        </w:rPr>
      </w:pPr>
      <w:r>
        <w:rPr>
          <w:sz w:val="32"/>
          <w:szCs w:val="32"/>
        </w:rPr>
        <w:t>人员经费2641.45万元，主要包括：基本工资、津贴补贴、奖金、伙食补助费、绩效工资、机关事业单位基本养老保险缴费、职业年金缴费、其他社会保障缴费、其他工资福利支出、离休费、退休费、抚恤金、生活补助、住房公积金、其他对个人和家庭的补助支出等。</w:t>
      </w:r>
    </w:p>
    <w:p>
      <w:pPr>
        <w:pStyle w:val=""/>
        <w:ind w:firstLine="645"/>
        <w:spacing w:line="580" w:lineRule="exact"/>
      </w:pPr>
      <w:r>
        <w:rPr>
          <w:sz w:val="32"/>
          <w:szCs w:val="32"/>
        </w:rPr>
        <w:t>公用经费280.22万元，主要包括：办公费、水费、电费、邮电费、差旅费、维修（护）费、租赁费、会议费、培训费、公务接待费、劳务费、委托业务费、工会经费、福利费、公务用车运行维护费、其他交通费、其他商品和服务支出。</w:t>
      </w:r>
    </w:p>
    <w:p>
      <w:pPr>
        <w:pStyle w:val=""/>
        <w:ind w:firstLine="641"/>
        <w:spacing w:line="580" w:lineRule="exact"/>
      </w:pPr>
      <w:r>
        <w:rPr>
          <w:sz w:val="32"/>
          <w:szCs w:val="32"/>
        </w:rPr>
        <w:t>七、</w:t>
      </w:r>
      <w:r>
        <w:rPr>
          <w:rStyle w:val="2Char"/>
          <w:b/>
          <w:rFonts w:ascii="Times New Roman" w:hAnsi="Times New Roman"/>
        </w:rPr>
        <w:t>财政拨款</w:t>
      </w:r>
      <w:r>
        <w:rPr>
          <w:rStyle w:val="2Char"/>
          <w:rFonts w:ascii="Times New Roman" w:hAnsi="Times New Roman"/>
        </w:rPr>
        <w:t>“</w:t>
      </w:r>
      <w:r>
        <w:rPr>
          <w:rStyle w:val="2Char"/>
          <w:b/>
          <w:rFonts w:ascii="Times New Roman" w:hAnsi="Times New Roman"/>
        </w:rPr>
        <w:t>三公”经费支出决算情况说明</w:t>
      </w:r>
    </w:p>
    <w:p>
      <w:pPr>
        <w:pStyle w:val=""/>
        <w:ind w:firstLine="640"/>
        <w:spacing w:line="580" w:lineRule="exact"/>
      </w:pPr>
      <w:r>
        <w:rPr>
          <w:b/>
          <w:sz w:val="32"/>
          <w:szCs w:val="32"/>
        </w:rPr>
        <w:t>（一）“三公”经费财政拨款支出决算总体情况说明</w:t>
      </w:r>
    </w:p>
    <w:p>
      <w:pPr>
        <w:pStyle w:val=""/>
        <w:ind w:firstLine="640"/>
        <w:spacing w:line="580" w:lineRule="exact"/>
      </w:pPr>
      <w:r>
        <w:rPr>
          <w:sz w:val="32"/>
          <w:szCs w:val="32"/>
        </w:rPr>
        <w:t>2022年“三公”经费财政拨款支出决算为11.40万元，完成预算100%，较上年增加8.47万元，增长289.08%。</w:t>
      </w:r>
    </w:p>
    <w:p>
      <w:pPr>
        <w:pStyle w:val=""/>
        <w:ind w:firstLine="640"/>
        <w:spacing w:line="580" w:lineRule="exact"/>
      </w:pPr>
      <w:r>
        <w:rPr>
          <w:b/>
          <w:sz w:val="32"/>
          <w:szCs w:val="32"/>
        </w:rPr>
        <w:t>（二）“三公”经费财政拨款支出决算具体情况说明</w:t>
      </w:r>
    </w:p>
    <w:p>
      <w:pPr>
        <w:pStyle w:val=""/>
        <w:ind w:firstLine="640"/>
        <w:spacing w:line="580" w:lineRule="exact"/>
      </w:pPr>
      <w:r>
        <w:rPr>
          <w:sz w:val="32"/>
          <w:szCs w:val="32"/>
        </w:rPr>
        <w:t>2022年“三公”经费财政拨款支出决算中，因公出国（境）费支出决算0万元，占0%；公务用车购置及运行维护费支出决算10.65万元，占93.42%；公务接待费支出决算0.75万元，占6.58%。具体情况如下：</w:t>
      </w:r>
    </w:p>
    <w:p>
      <w:pPr>
        <w:pStyle w:val=""/>
        <w:spacing w:line="600" w:lineRule="exact"/>
        <w:rPr>
          <w:sz w:val="32"/>
          <w:szCs w:val="32"/>
        </w:rPr>
      </w:pPr>
      <w:r>
        <w:rPr>
          <w:noProof/>
        </w:rPr>
        <w:drawing>
          <wp:anchor distT="0" distB="0" distL="0" distR="0" simplePos="0" relativeHeight="251658240" behindDoc="0" locked="0" layoutInCell="1" allowOverlap="1" wp14:anchorId="7DEABBC1" wp14:editId="3131C523">
            <wp:simplePos x="0" y="0"/>
            <wp:positionH relativeFrom="column">
              <wp:posOffset>1011555</wp:posOffset>
            </wp:positionH>
            <wp:positionV relativeFrom="paragraph">
              <wp:posOffset>120650</wp:posOffset>
            </wp:positionV>
            <wp:extent cx="3517900" cy="2616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3"/>
                    <a:stretch>
                      <a:fillRect/>
                    </a:stretch>
                  </pic:blipFill>
                  <pic:spPr bwMode="auto">
                    <a:xfrm>
                      <a:off x="0" y="0"/>
                      <a:ext cx="3517900" cy="2616200"/>
                    </a:xfrm>
                    <a:prstGeom prst="rect">
                      <a:avLst/>
                    </a:prstGeom>
                    <a:noFill/>
                  </pic:spPr>
                </pic:pic>
              </a:graphicData>
            </a:graphic>
          </wp:anchor>
        </w:drawing>
      </w:r>
    </w:p>
    <w:p>
      <w:pPr>
        <w:pStyle w:val=""/>
        <w:spacing w:line="600" w:lineRule="exact"/>
        <w:rPr>
          <w:sz w:val="32"/>
          <w:szCs w:val="32"/>
        </w:rPr>
      </w:pPr>
    </w:p>
    <w:p>
      <w:pPr>
        <w:pStyle w:val=""/>
        <w:spacing w:line="600" w:lineRule="exact"/>
        <w:rPr>
          <w:sz w:val="32"/>
          <w:szCs w:val="32"/>
        </w:rPr>
      </w:pPr>
    </w:p>
    <w:p>
      <w:pPr>
        <w:pStyle w:val=""/>
        <w:spacing w:before="93"/>
        <w:rPr>
          <w:rFonts w:ascii="Times New Roman"/>
          <w:sz w:val="30"/>
          <w:szCs w:val="24"/>
        </w:rPr>
      </w:pPr>
    </w:p>
    <w:p>
      <w:pPr>
        <w:pStyle w:val=""/>
        <w:spacing w:before="93"/>
        <w:rPr>
          <w:rFonts w:ascii="Times New Roman"/>
          <w:sz w:val="30"/>
          <w:szCs w:val="24"/>
        </w:rPr>
      </w:pPr>
    </w:p>
    <w:p>
      <w:pPr>
        <w:pStyle w:val=""/>
        <w:spacing w:line="600" w:lineRule="exact"/>
        <w:rPr>
          <w:sz w:val="32"/>
          <w:szCs w:val="32"/>
        </w:rPr>
      </w:pPr>
    </w:p>
    <w:p>
      <w:pPr>
        <w:pStyle w:val=""/>
        <w:spacing w:line="600" w:lineRule="exact"/>
        <w:rPr>
          <w:sz w:val="32"/>
          <w:szCs w:val="32"/>
        </w:rPr>
      </w:pPr>
    </w:p>
    <w:p>
      <w:pPr>
        <w:pStyle w:val=""/>
        <w:jc w:val="center"/>
        <w:spacing w:before="93" w:line="600" w:lineRule="exact"/>
      </w:pPr>
      <w:r>
        <w:rPr>
          <w:sz w:val="28"/>
          <w:szCs w:val="28"/>
        </w:rPr>
        <w:t>（图7：“三公”经费财政拨款支出结构图）</w:t>
      </w:r>
    </w:p>
    <w:p>
      <w:pPr>
        <w:pStyle w:val=""/>
        <w:ind w:firstLine="640"/>
        <w:spacing w:line="600" w:lineRule="exact"/>
        <w:rPr>
          <w:b/>
          <w:sz w:val="32"/>
          <w:szCs w:val="32"/>
        </w:rPr>
      </w:pPr>
      <w:r>
        <w:rPr>
          <w:b/>
          <w:sz w:val="32"/>
          <w:szCs w:val="32"/>
        </w:rPr>
        <w:t>1.</w:t>
      </w:r>
      <w:r>
        <w:rPr>
          <w:b/>
          <w:sz w:val="32"/>
          <w:szCs w:val="32"/>
        </w:rPr>
        <w:t xml:space="preserve"> </w:t>
      </w:r>
      <w:r>
        <w:rPr>
          <w:b/>
          <w:sz w:val="32"/>
          <w:szCs w:val="32"/>
        </w:rPr>
        <w:t>因公出国（境）经费支出</w:t>
      </w:r>
      <w:r>
        <w:rPr>
          <w:sz w:val="32"/>
          <w:szCs w:val="32"/>
        </w:rPr>
        <w:t>0万元，</w:t>
      </w:r>
      <w:r>
        <w:rPr>
          <w:rStyle w:val=""/>
          <w:b/>
          <w:sz w:val="32"/>
          <w:szCs w:val="32"/>
        </w:rPr>
        <w:t>完成预算0%。</w:t>
      </w:r>
      <w:r>
        <w:rPr>
          <w:sz w:val="32"/>
          <w:szCs w:val="32"/>
        </w:rPr>
        <w:t>全年安排因公出国（境）团组0次，出国（境）0人。因公出国（境）支出决算比2021年增加0万元。</w:t>
      </w:r>
    </w:p>
    <w:p>
      <w:pPr>
        <w:pStyle w:val=""/>
        <w:ind w:firstLine="640"/>
        <w:spacing w:line="600" w:lineRule="exact"/>
        <w:rPr>
          <w:b/>
          <w:sz w:val="32"/>
          <w:szCs w:val="32"/>
        </w:rPr>
      </w:pPr>
      <w:r>
        <w:rPr>
          <w:b/>
          <w:sz w:val="32"/>
          <w:szCs w:val="32"/>
        </w:rPr>
        <w:t>2.</w:t>
      </w:r>
      <w:r>
        <w:rPr>
          <w:b/>
          <w:sz w:val="32"/>
          <w:szCs w:val="32"/>
        </w:rPr>
        <w:t xml:space="preserve"> </w:t>
      </w:r>
      <w:r>
        <w:rPr>
          <w:b/>
          <w:sz w:val="32"/>
          <w:szCs w:val="32"/>
        </w:rPr>
        <w:t>公务用车购置及运行维护费支出</w:t>
      </w:r>
      <w:r>
        <w:rPr>
          <w:sz w:val="32"/>
          <w:szCs w:val="32"/>
        </w:rPr>
        <w:t>10.65万元,</w:t>
      </w:r>
      <w:r>
        <w:rPr>
          <w:rStyle w:val=""/>
          <w:b/>
          <w:sz w:val="32"/>
          <w:szCs w:val="32"/>
        </w:rPr>
        <w:t>完成预算100%。</w:t>
      </w:r>
      <w:r>
        <w:rPr>
          <w:sz w:val="32"/>
          <w:szCs w:val="32"/>
        </w:rPr>
        <w:t>公务用车购置及运行维护费支出决算比2021年增加8.58万元，增长414.49%。主要原因是2022年支付2021年应付未付修车费3.54万元，2022年度车辆维修维护费用5.58万元。</w:t>
      </w:r>
    </w:p>
    <w:p>
      <w:pPr>
        <w:pStyle w:val=""/>
        <w:ind w:firstLine="640"/>
        <w:spacing w:line="600" w:lineRule="exact"/>
        <w:rPr>
          <w:b/>
          <w:sz w:val="32"/>
          <w:szCs w:val="32"/>
        </w:rPr>
      </w:pPr>
      <w:r>
        <w:rPr>
          <w:sz w:val="32"/>
          <w:szCs w:val="32"/>
        </w:rPr>
        <w:t>其中：</w:t>
      </w:r>
      <w:r>
        <w:rPr>
          <w:b/>
          <w:sz w:val="32"/>
          <w:szCs w:val="32"/>
        </w:rPr>
        <w:t>公务用车购置支出</w:t>
      </w:r>
      <w:r>
        <w:rPr>
          <w:sz w:val="32"/>
          <w:szCs w:val="32"/>
        </w:rPr>
        <w:t>0万元。全年按规定更新购置公务用车0辆，其中：轿车0辆、金额0万元，越野车0辆、金额0万元，载客汽车0辆、金额0万元。截至2022年12月底，单位共有公务用车21辆，其中：轿车19辆、越野车2辆、载客汽车0辆。</w:t>
      </w:r>
    </w:p>
    <w:p>
      <w:pPr>
        <w:pStyle w:val=""/>
        <w:ind w:firstLine="640"/>
        <w:spacing w:line="600" w:lineRule="exact"/>
      </w:pPr>
      <w:r>
        <w:rPr>
          <w:b/>
          <w:sz w:val="32"/>
          <w:szCs w:val="32"/>
        </w:rPr>
        <w:t>公务用车运行维护费支出</w:t>
      </w:r>
      <w:r>
        <w:rPr>
          <w:sz w:val="32"/>
          <w:szCs w:val="32"/>
        </w:rPr>
        <w:t>10.65万元。</w:t>
      </w:r>
      <w:r>
        <w:rPr>
          <w:color w:val="000000"/>
          <w:sz w:val="32"/>
          <w:szCs w:val="32"/>
        </w:rPr>
        <w:t>主要用于检察工作所需的公务用车燃料费、维修费、过路过桥费、保险费等支出。</w:t>
      </w:r>
    </w:p>
    <w:p>
      <w:pPr>
        <w:pStyle w:val=""/>
        <w:ind w:firstLine="640"/>
        <w:spacing w:line="600" w:lineRule="exact"/>
      </w:pPr>
      <w:r>
        <w:rPr>
          <w:b/>
          <w:sz w:val="32"/>
          <w:szCs w:val="32"/>
        </w:rPr>
        <w:t>3.</w:t>
      </w:r>
      <w:r>
        <w:rPr>
          <w:b/>
          <w:sz w:val="32"/>
          <w:szCs w:val="32"/>
        </w:rPr>
        <w:t xml:space="preserve"> </w:t>
      </w:r>
      <w:r>
        <w:rPr>
          <w:b/>
          <w:sz w:val="32"/>
          <w:szCs w:val="32"/>
        </w:rPr>
        <w:t>公务接待费支出</w:t>
      </w:r>
      <w:r>
        <w:rPr>
          <w:sz w:val="32"/>
          <w:szCs w:val="32"/>
        </w:rPr>
        <w:t>0.75万元，</w:t>
      </w:r>
      <w:r>
        <w:rPr>
          <w:rStyle w:val=""/>
          <w:b/>
          <w:sz w:val="32"/>
          <w:szCs w:val="32"/>
        </w:rPr>
        <w:t>完成预算100%。</w:t>
      </w:r>
      <w:r>
        <w:rPr>
          <w:sz w:val="32"/>
          <w:szCs w:val="32"/>
        </w:rPr>
        <w:t>公务接待费支出决算比2021年减少0.11万元，下降12.79%。主要原因是接待批次和人员减少。其中：</w:t>
      </w:r>
    </w:p>
    <w:p>
      <w:pPr>
        <w:pStyle w:val=""/>
        <w:ind w:firstLine="640"/>
        <w:spacing w:line="600" w:lineRule="exact"/>
      </w:pPr>
      <w:r>
        <w:rPr>
          <w:b/>
          <w:sz w:val="32"/>
          <w:szCs w:val="32"/>
        </w:rPr>
        <w:t>国内公务接待支出</w:t>
      </w:r>
      <w:r>
        <w:rPr>
          <w:sz w:val="32"/>
          <w:szCs w:val="32"/>
        </w:rPr>
        <w:t>0.75万元，主要用于执行公务、开展业务活动开支的用餐费。国内公务接待7批次，25人次（不包括陪同人员），共计支出0.75万元。</w:t>
      </w:r>
    </w:p>
    <w:p>
      <w:pPr>
        <w:pStyle w:val=""/>
        <w:ind w:firstLine="643"/>
        <w:spacing w:line="600" w:lineRule="exact"/>
      </w:pPr>
      <w:r>
        <w:rPr>
          <w:b/>
          <w:sz w:val="32"/>
          <w:szCs w:val="32"/>
        </w:rPr>
        <w:t>外事接待支出</w:t>
      </w:r>
      <w:r>
        <w:rPr>
          <w:sz w:val="32"/>
          <w:szCs w:val="32"/>
        </w:rPr>
        <w:t>0万元，外事接待0批次，0人次（不包括陪同人员），共计支出0万元。</w:t>
      </w:r>
    </w:p>
    <w:p>
      <w:pPr>
        <w:pStyle w:val=""/>
        <w:ind w:firstLine="641"/>
        <w:spacing w:line="600" w:lineRule="exact"/>
        <w:rPr>
          <w:rFonts w:ascii="Times New Roman" w:hAnsi="Times New Roman"/>
        </w:rPr>
      </w:pPr>
      <w:r>
        <w:rPr>
          <w:sz w:val="32"/>
          <w:szCs w:val="32"/>
        </w:rPr>
        <w:t>八、</w:t>
      </w:r>
      <w:r>
        <w:rPr>
          <w:rStyle w:val="2Char"/>
          <w:b/>
          <w:rFonts w:ascii="Times New Roman" w:hAnsi="Times New Roman"/>
        </w:rPr>
        <w:t>政府性基金预算支出决算情况说明</w:t>
      </w:r>
    </w:p>
    <w:p>
      <w:pPr>
        <w:pStyle w:val=""/>
        <w:ind w:firstLine="640"/>
        <w:spacing w:line="600" w:lineRule="exact"/>
      </w:pPr>
      <w:r>
        <w:rPr>
          <w:sz w:val="32"/>
          <w:szCs w:val="32"/>
        </w:rPr>
        <w:t>2022年政府性基金预算财政拨款支出0万元。</w:t>
      </w:r>
    </w:p>
    <w:p>
      <w:pPr>
        <w:pStyle w:val=""/>
        <w:numPr>
          <w:ilvl w:val="0"/>
          <w:numId w:val="3479514348"/>
        </w:numPr>
        <w:ind w:firstLine="641"/>
        <w:spacing w:line="600" w:lineRule="exact"/>
      </w:pPr>
      <w:r>
        <w:rPr>
          <w:rStyle w:val="2Char"/>
          <w:b/>
          <w:rFonts w:ascii="Times New Roman" w:hAnsi="Times New Roman"/>
        </w:rPr>
        <w:t>国有资本经营预算支出决算情况说明</w:t>
      </w:r>
    </w:p>
    <w:p>
      <w:pPr>
        <w:pStyle w:val=""/>
        <w:ind w:firstLine="640"/>
        <w:spacing w:line="600" w:lineRule="exact"/>
        <w:rPr>
          <w:sz w:val="44"/>
          <w:szCs w:val="44"/>
        </w:rPr>
      </w:pPr>
      <w:r>
        <w:rPr>
          <w:sz w:val="32"/>
          <w:szCs w:val="32"/>
        </w:rPr>
        <w:t>2022年国有资本经营预算财政拨款支出0万元。</w:t>
      </w:r>
    </w:p>
    <w:p>
      <w:pPr>
        <w:pStyle w:val=""/>
        <w:numPr>
          <w:ilvl w:val="0"/>
          <w:numId w:val="3479514348"/>
        </w:numPr>
        <w:ind w:firstLine="641"/>
        <w:spacing w:line="600" w:lineRule="exact"/>
      </w:pPr>
      <w:r>
        <w:rPr>
          <w:rStyle w:val="2Char"/>
          <w:b/>
          <w:rFonts w:ascii="Times New Roman" w:hAnsi="Times New Roman"/>
        </w:rPr>
        <w:t>其他重要事项的情况说明</w:t>
      </w:r>
    </w:p>
    <w:p>
      <w:pPr>
        <w:pStyle w:val=""/>
        <w:ind w:firstLine="643"/>
        <w:spacing w:line="600" w:lineRule="exact"/>
        <w:rPr>
          <w:sz w:val="32"/>
          <w:szCs w:val="32"/>
        </w:rPr>
      </w:pPr>
      <w:r>
        <w:rPr>
          <w:b/>
          <w:sz w:val="32"/>
          <w:szCs w:val="32"/>
        </w:rPr>
        <w:t>（一）机关运行经费支出情况</w:t>
      </w:r>
    </w:p>
    <w:p>
      <w:pPr>
        <w:pStyle w:val=""/>
        <w:ind w:firstLine="640"/>
        <w:spacing w:line="600" w:lineRule="exact"/>
      </w:pPr>
      <w:r>
        <w:rPr>
          <w:sz w:val="32"/>
          <w:szCs w:val="32"/>
        </w:rPr>
        <w:t>2022年，攀枝花市人民检察院机关运行经费支出280.22万元，比2021年增加59.65万元，增长27.04%。主要原因是主要原因是2022年办公费、邮电费、差旅费等运行经费支出增加。</w:t>
      </w:r>
    </w:p>
    <w:p>
      <w:pPr>
        <w:pStyle w:val=""/>
        <w:ind w:firstLine="643"/>
        <w:spacing w:line="600" w:lineRule="exact"/>
      </w:pPr>
      <w:r>
        <w:rPr>
          <w:b/>
          <w:sz w:val="32"/>
          <w:szCs w:val="32"/>
        </w:rPr>
        <w:t>（二）政府采购支出情况</w:t>
      </w:r>
    </w:p>
    <w:p>
      <w:pPr>
        <w:pStyle w:val=""/>
        <w:ind w:firstLine="640"/>
        <w:spacing w:line="600" w:lineRule="exact"/>
      </w:pPr>
      <w:r>
        <w:rPr>
          <w:sz w:val="32"/>
          <w:szCs w:val="32"/>
        </w:rPr>
        <w:t>2022年，攀枝花市人民检察院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
        <w:ind w:firstLine="643"/>
        <w:spacing w:line="600" w:lineRule="exact"/>
      </w:pPr>
      <w:r>
        <w:rPr>
          <w:b/>
          <w:sz w:val="32"/>
          <w:szCs w:val="32"/>
        </w:rPr>
        <w:t>（三）国有资产占有使用情况</w:t>
      </w:r>
    </w:p>
    <w:p>
      <w:pPr>
        <w:pStyle w:val=""/>
        <w:ind w:firstLine="640"/>
        <w:spacing w:line="600" w:lineRule="exact"/>
      </w:pPr>
      <w:r>
        <w:rPr>
          <w:sz w:val="32"/>
          <w:szCs w:val="32"/>
        </w:rPr>
        <w:t>截至2022年12月31日，攀枝花市人民检察院共有车辆21辆，其中：主要领导干部用车0辆、机要通信用车0辆、应急保障用车1辆、其他用车20辆，其他用车主要是执法执勤用车。单价100万元以上专用设备0台（套）。</w:t>
      </w:r>
    </w:p>
    <w:p>
      <w:pPr>
        <w:pStyle w:val=""/>
        <w:ind w:firstLine="643"/>
        <w:spacing w:line="600" w:lineRule="exact"/>
      </w:pPr>
      <w:r>
        <w:rPr>
          <w:b/>
          <w:sz w:val="32"/>
          <w:szCs w:val="32"/>
        </w:rPr>
        <w:t>（四）预算绩效管理情况</w:t>
      </w:r>
    </w:p>
    <w:p>
      <w:pPr>
        <w:pStyle w:val=""/>
        <w:ind w:firstLine="640"/>
      </w:pPr>
      <w:r>
        <w:rPr>
          <w:sz w:val="32"/>
          <w:szCs w:val="32"/>
        </w:rPr>
        <w:t>根据预算绩效管理要求，本部门在2022年度预算编制阶段，组织对挂职干部补助等4个项目开展了预算事前绩效评估，对4个项目编制了绩效目标，预算执行过程中，选取1个项目开展绩效监控。</w:t>
      </w:r>
    </w:p>
    <w:p>
      <w:pPr>
        <w:pStyle w:val=""/>
        <w:ind w:firstLine="640"/>
      </w:pPr>
      <w:r>
        <w:rPr>
          <w:sz w:val="32"/>
          <w:szCs w:val="32"/>
        </w:rPr>
        <w:t>组织</w:t>
      </w:r>
      <w:r>
        <w:rPr>
          <w:sz w:val="32"/>
          <w:szCs w:val="32"/>
        </w:rPr>
        <w:t>对2022年度一般公共预算、政府性基金预算、国有资本经营预算、社会保险基金预算以及资本资产、债券资金等全面开展绩效自评，形成攀枝花市人民检察院部门整体（含部门预算项目）绩效自评报告、挂职干部补助等专项预算项目绩效自评报告，其中，攀枝花市人民检察院部门整体（含部门预算项目）绩效自评得分为94.72分，绩效自评综述：通过对本单位2022年部门整体支出绩效数据分析，绩效管理情况的自我梳理评价，得出2022年部门预算资金支出编制合理、管理规范，资金使用社会效益明显。部门预算支出维护了社会稳定、提高了诉讼及监督工作。挂职干部补助专项预算项目绩效自评得分为97.66分，为更好的贯彻落实市委市政府关于扶贫工作相关决议，为扶贫村提供优质的法律咨询服务，足额保障我单位驻盐边县永兴镇岩门村党委驻村队员段靖伟同志专项人员经费，助力脱贫工作取得实质性效果；关工委工作经费专项预算项目绩效自评得分为95.85分，攀枝花市检察院关工委紧紧围绕党委工作和各项决策部署，2022年，市院关工委积极制定工作方案，开展了3次志愿服务公益活动，分别是“市检察院暖冬行动”、“市福利院特殊儿童关爱活动”和“关心下一代捐款活动”，充分发挥关工委在促进青少年健康成长</w:t>
      </w:r>
      <w:r>
        <w:rPr>
          <w:sz w:val="32"/>
          <w:szCs w:val="32"/>
        </w:rPr>
        <w:t>中的作用和使命，为促进社会和谐稳定发挥了应有作用；司法救助专项预算项目绩效自评得分为96.39分, 司法救助项目</w:t>
      </w:r>
      <w:r>
        <w:rPr>
          <w:sz w:val="32"/>
          <w:szCs w:val="32"/>
        </w:rPr>
        <w:t>切实做好了司法过程中对困难群众的救助，有效维护了当事人的合法权益，保障社会公平正义，促进社会和谐稳定；聘用制书记员</w:t>
      </w:r>
      <w:r>
        <w:rPr>
          <w:sz w:val="32"/>
          <w:szCs w:val="32"/>
        </w:rPr>
        <w:t>专项预算项目绩效自评得分为94.91分，该项目资金主要用于聘用制书记员经费开支，强化书记员管理、考核，激励书记员担当作为，为我单位检务工作提供强有力的保障。绩效自评报告详见附件。</w:t>
      </w:r>
    </w:p>
    <w:p>
      <w:pPr>
        <w:pStyle w:val=""/>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sz w:val="30"/>
          <w:szCs w:val="24"/>
        </w:rPr>
      </w:pPr>
    </w:p>
    <w:p>
      <w:pPr>
        <w:pStyle w:val=""/>
        <w:ind w:firstLine="420"/>
        <w:spacing w:before="93"/>
        <w:rPr>
          <w:rFonts w:ascii="Times New Roman"/>
          <w:sz w:val="30"/>
          <w:szCs w:val="24"/>
        </w:rPr>
      </w:pPr>
    </w:p>
    <w:p>
      <w:pPr>
        <w:pStyle w:val=""/>
        <w:ind w:firstLine="420"/>
        <w:spacing w:before="93"/>
        <w:rPr>
          <w:rFonts w:ascii="Times New Roman"/>
          <w:sz w:val="30"/>
          <w:szCs w:val="24"/>
        </w:rPr>
      </w:pPr>
    </w:p>
    <w:p>
      <w:pPr>
        <w:pStyle w:val=""/>
        <w:ind w:firstLine="420"/>
        <w:spacing w:before="93"/>
        <w:rPr>
          <w:rFonts w:ascii="Times New Roman"/>
          <w:sz w:val="30"/>
          <w:szCs w:val="24"/>
        </w:rPr>
      </w:pPr>
    </w:p>
    <w:p>
      <w:pPr>
        <w:pStyle w:val=""/>
        <w:ind w:firstLine="420"/>
        <w:spacing w:before="93"/>
        <w:rPr>
          <w:rFonts w:ascii="Times New Roman"/>
          <w:sz w:val="30"/>
          <w:szCs w:val="24"/>
        </w:rPr>
      </w:pPr>
    </w:p>
    <w:p>
      <w:pPr>
        <w:pStyle w:val=""/>
        <w:ind w:firstLine="420"/>
        <w:spacing w:before="93"/>
        <w:rPr>
          <w:rFonts w:ascii="Times New Roman"/>
          <w:sz w:val="30"/>
          <w:szCs w:val="24"/>
        </w:rPr>
      </w:pPr>
    </w:p>
    <w:p>
      <w:pPr>
        <w:pStyle w:val=""/>
        <w:numPr>
          <w:ilvl w:val="0"/>
          <w:numId w:val="3808035965"/>
        </w:numPr>
        <w:jc w:val="center"/>
        <w:spacing w:line="600" w:lineRule="exact"/>
      </w:pPr>
      <w:r>
        <w:rPr>
          <w:sz w:val="44"/>
          <w:szCs w:val="44"/>
        </w:rPr>
        <w:t>名</w:t>
      </w:r>
      <w:r>
        <w:rPr>
          <w:rStyle w:val="1Char"/>
          <w:b/>
        </w:rPr>
        <w:t>词解释</w:t>
      </w:r>
    </w:p>
    <w:p>
      <w:pPr>
        <w:pStyle w:val=""/>
        <w:jc w:val="left"/>
        <w:spacing w:line="600" w:lineRule="exact"/>
        <w:rPr>
          <w:b/>
          <w:sz w:val="44"/>
          <w:szCs w:val="44"/>
        </w:rPr>
      </w:pPr>
    </w:p>
    <w:p>
      <w:pPr>
        <w:pStyle w:val="Default"/>
        <w:jc w:val="both"/>
        <w:ind w:firstLine="640"/>
      </w:pPr>
      <w:r>
        <w:rPr>
          <w:rFonts w:ascii="Times New Roman" w:hAnsi="Times New Roman"/>
          <w:sz w:val="32"/>
          <w:szCs w:val="32"/>
        </w:rPr>
        <w:t>1.</w:t>
      </w:r>
      <w:r>
        <w:rPr>
          <w:rFonts w:ascii="Times New Roman" w:hAnsi="Times New Roman"/>
          <w:sz w:val="32"/>
          <w:szCs w:val="32"/>
        </w:rPr>
        <w:t xml:space="preserve"> </w:t>
      </w:r>
      <w:r>
        <w:rPr>
          <w:rFonts w:ascii="Times New Roman" w:hAnsi="Times New Roman"/>
          <w:sz w:val="32"/>
          <w:szCs w:val="32"/>
        </w:rPr>
        <w:t xml:space="preserve">财政拨款收入：指省级财政当年拨付的资金。 </w:t>
      </w:r>
    </w:p>
    <w:p>
      <w:pPr>
        <w:pStyle w:val="Default"/>
        <w:jc w:val="both"/>
        <w:ind w:firstLine="640"/>
      </w:pPr>
      <w:r>
        <w:rPr>
          <w:rFonts w:ascii="Times New Roman" w:hAnsi="Times New Roman"/>
          <w:sz w:val="32"/>
          <w:szCs w:val="32"/>
        </w:rPr>
        <w:t>2.</w:t>
      </w:r>
      <w:r>
        <w:rPr>
          <w:rFonts w:ascii="Times New Roman" w:hAnsi="Times New Roman"/>
          <w:sz w:val="32"/>
          <w:szCs w:val="32"/>
        </w:rPr>
        <w:t xml:space="preserve"> </w:t>
      </w:r>
      <w:r>
        <w:rPr>
          <w:rFonts w:ascii="Times New Roman" w:hAnsi="Times New Roman"/>
          <w:sz w:val="32"/>
          <w:szCs w:val="32"/>
        </w:rPr>
        <w:t xml:space="preserve">其他收入：指除上述“财政拨款收入”、“事业收入”、“经营收入”等以外的收入。主要是银行存款利息等。 </w:t>
      </w:r>
    </w:p>
    <w:p>
      <w:pPr>
        <w:pStyle w:val="Default"/>
        <w:jc w:val="both"/>
        <w:ind w:firstLine="640"/>
      </w:pPr>
      <w:r>
        <w:rPr>
          <w:rFonts w:ascii="Times New Roman" w:hAnsi="Times New Roman"/>
          <w:sz w:val="32"/>
          <w:szCs w:val="32"/>
        </w:rPr>
        <w:t>3.</w:t>
      </w:r>
      <w:r>
        <w:rPr>
          <w:rFonts w:ascii="Times New Roman" w:hAnsi="Times New Roman"/>
          <w:sz w:val="32"/>
          <w:szCs w:val="32"/>
        </w:rPr>
        <w:t xml:space="preserve"> </w:t>
      </w:r>
      <w:r>
        <w:rPr>
          <w:rFonts w:ascii="Times New Roman" w:hAnsi="Times New Roman"/>
          <w:sz w:val="32"/>
          <w:szCs w:val="32"/>
        </w:rPr>
        <w:t>年初结转和结余：指以前年度尚未完成、结转到本年按有关规定继续使用的资金。</w:t>
      </w:r>
    </w:p>
    <w:p>
      <w:pPr>
        <w:pStyle w:val="Default"/>
        <w:jc w:val="both"/>
        <w:ind w:firstLine="640"/>
      </w:pPr>
      <w:r>
        <w:rPr>
          <w:rFonts w:ascii="Times New Roman" w:hAnsi="Times New Roman"/>
          <w:sz w:val="32"/>
          <w:szCs w:val="32"/>
        </w:rPr>
        <w:t>4.</w:t>
      </w:r>
      <w:r>
        <w:rPr>
          <w:rFonts w:ascii="Times New Roman" w:hAnsi="Times New Roman"/>
          <w:sz w:val="32"/>
          <w:szCs w:val="32"/>
        </w:rPr>
        <w:t xml:space="preserve"> </w:t>
      </w:r>
      <w:r>
        <w:rPr>
          <w:rFonts w:ascii="Times New Roman" w:hAnsi="Times New Roman"/>
          <w:sz w:val="32"/>
          <w:szCs w:val="32"/>
        </w:rPr>
        <w:t xml:space="preserve">年末结转和结余：指单位按有关规定结转到下年或以后年度继续使用的资金。 </w:t>
      </w:r>
    </w:p>
    <w:p>
      <w:pPr>
        <w:pStyle w:val=""/>
        <w:ind w:firstLine="640"/>
      </w:pPr>
      <w:r>
        <w:rPr>
          <w:color w:val="000000"/>
          <w:sz w:val="32"/>
          <w:szCs w:val="32"/>
        </w:rPr>
        <w:t>5.</w:t>
      </w:r>
      <w:r>
        <w:rPr>
          <w:color w:val="000000"/>
          <w:sz w:val="32"/>
          <w:szCs w:val="32"/>
        </w:rPr>
        <w:t xml:space="preserve"> </w:t>
      </w:r>
      <w:r>
        <w:rPr>
          <w:color w:val="000000"/>
          <w:sz w:val="32"/>
          <w:szCs w:val="32"/>
        </w:rPr>
        <w:t>一般公共服务（类）组织事务（款）其他组织事务支出（项）：指除了行政运行、一般行政管理事务等项目以外其他用于中国共产党组织部门的事务支出。</w:t>
      </w:r>
    </w:p>
    <w:p>
      <w:pPr>
        <w:pStyle w:val=""/>
        <w:ind w:firstLine="640"/>
      </w:pPr>
      <w:r>
        <w:rPr>
          <w:color w:val="000000"/>
          <w:sz w:val="32"/>
          <w:szCs w:val="32"/>
        </w:rPr>
        <w:t>6.</w:t>
      </w:r>
      <w:r>
        <w:rPr>
          <w:color w:val="000000"/>
          <w:sz w:val="32"/>
          <w:szCs w:val="32"/>
        </w:rPr>
        <w:t xml:space="preserve"> </w:t>
      </w:r>
      <w:r>
        <w:rPr>
          <w:color w:val="000000"/>
          <w:sz w:val="32"/>
          <w:szCs w:val="32"/>
        </w:rPr>
        <w:t>公共安全（类）检察（款）行政运行（项）：反应行政单位（包括实行公务员管理的事务单位）的基本支出。</w:t>
      </w:r>
    </w:p>
    <w:p>
      <w:pPr>
        <w:pStyle w:val=""/>
        <w:ind w:firstLine="640"/>
      </w:pPr>
      <w:r>
        <w:rPr>
          <w:color w:val="000000"/>
          <w:sz w:val="32"/>
          <w:szCs w:val="32"/>
        </w:rPr>
        <w:t>7. 公共安全（类）检察（款）一般行政管理事务（项）：反应行政单位（包括实行公务员管理的事务单位）未单独设置项级科目的其他项目支出。</w:t>
      </w:r>
    </w:p>
    <w:p>
      <w:pPr>
        <w:pStyle w:val=""/>
        <w:ind w:firstLine="640"/>
      </w:pPr>
      <w:r>
        <w:rPr>
          <w:color w:val="000000"/>
          <w:sz w:val="32"/>
          <w:szCs w:val="32"/>
        </w:rPr>
        <w:t>8. 公共安全（类）检察（款）其他检察支出（项）：反映除上述项目以外其他用于检察方面的支出。</w:t>
      </w:r>
    </w:p>
    <w:p>
      <w:pPr>
        <w:pStyle w:val=""/>
        <w:ind w:firstLine="640"/>
      </w:pPr>
      <w:r>
        <w:rPr>
          <w:color w:val="000000"/>
          <w:sz w:val="32"/>
          <w:szCs w:val="32"/>
        </w:rPr>
        <w:t>9.</w:t>
      </w:r>
      <w:r>
        <w:rPr>
          <w:color w:val="000000"/>
          <w:sz w:val="32"/>
          <w:szCs w:val="32"/>
        </w:rPr>
        <w:t xml:space="preserve"> </w:t>
      </w:r>
      <w:r>
        <w:rPr>
          <w:color w:val="000000"/>
          <w:sz w:val="32"/>
          <w:szCs w:val="32"/>
        </w:rPr>
        <w:t>科学技术支出（类）技术研究与开发（款）应用技术研究与开发（项）：指反映从事技术开发研究和近期可望取得实用价值的专项技术开发研究的支出。</w:t>
      </w:r>
    </w:p>
    <w:p>
      <w:pPr>
        <w:pStyle w:val=""/>
        <w:ind w:firstLine="640"/>
      </w:pPr>
      <w:r>
        <w:rPr>
          <w:color w:val="000000"/>
          <w:sz w:val="32"/>
          <w:szCs w:val="32"/>
        </w:rPr>
        <w:t>10.</w:t>
      </w:r>
      <w:r>
        <w:rPr>
          <w:color w:val="000000"/>
          <w:sz w:val="32"/>
          <w:szCs w:val="32"/>
        </w:rPr>
        <w:t xml:space="preserve"> </w:t>
      </w:r>
      <w:r>
        <w:rPr>
          <w:color w:val="000000"/>
          <w:sz w:val="32"/>
          <w:szCs w:val="32"/>
        </w:rPr>
        <w:t>社会保障和就业（类）行政事业单位离退休（款）归口管理的行政单位离退休（项）：反映未实行归口管理的行政单位（包括实行公务员管理的事务单位）开支的离退休支出。</w:t>
      </w:r>
    </w:p>
    <w:p>
      <w:pPr>
        <w:pStyle w:val=""/>
        <w:ind w:firstLine="640"/>
      </w:pPr>
      <w:r>
        <w:rPr>
          <w:color w:val="000000"/>
          <w:sz w:val="32"/>
          <w:szCs w:val="32"/>
        </w:rPr>
        <w:t>11. 社会保障和就业支出（类）行政事业单位离退休（款）机关事业单位基本养老保险缴费支出（项）：反映机关事业单位实施养老保险制度由单位缴纳的基本养老保险费支出。</w:t>
      </w:r>
    </w:p>
    <w:p>
      <w:pPr>
        <w:pStyle w:val=""/>
        <w:ind w:firstLine="640"/>
      </w:pPr>
      <w:r>
        <w:rPr>
          <w:color w:val="000000"/>
          <w:sz w:val="32"/>
          <w:szCs w:val="32"/>
        </w:rPr>
        <w:t>12. 社会保障和就业支出（类）抚恤（款）死亡抚恤（项）：反映按规定用于烈士和牺牲、病故人员家属的一次性和定期抚恤金以及丧葬补助费。</w:t>
      </w:r>
    </w:p>
    <w:p>
      <w:pPr>
        <w:pStyle w:val=""/>
        <w:ind w:firstLine="640"/>
      </w:pPr>
      <w:r>
        <w:rPr>
          <w:color w:val="000000"/>
          <w:sz w:val="32"/>
          <w:szCs w:val="32"/>
        </w:rPr>
        <w:t>13. 住房保障支出（类）住房改革支出（款）住房公积金（项）：反映行政事业单位按人力资源和社会保障部财政部规定的基本工资和津贴补贴以及规定比例为职工缴纳的住房公积金。</w:t>
      </w:r>
    </w:p>
    <w:p>
      <w:pPr>
        <w:pStyle w:val=""/>
        <w:ind w:firstLine="640"/>
      </w:pPr>
      <w:r>
        <w:rPr>
          <w:color w:val="000000"/>
          <w:sz w:val="32"/>
          <w:szCs w:val="32"/>
        </w:rPr>
        <w:t>14. 社会保障和就业支出（类）社会福利（款）儿童福利（项）：反映对儿童提供福利服务方面的支出。</w:t>
      </w:r>
    </w:p>
    <w:p>
      <w:pPr>
        <w:pStyle w:val=""/>
      </w:pPr>
      <w:r>
        <w:rPr>
          <w:color w:val="000000"/>
          <w:sz w:val="32"/>
          <w:szCs w:val="32"/>
        </w:rPr>
        <w:t xml:space="preserve">    15.</w:t>
      </w:r>
      <w:r>
        <w:rPr>
          <w:color w:val="000000"/>
          <w:sz w:val="32"/>
          <w:szCs w:val="32"/>
        </w:rPr>
        <w:t xml:space="preserve"> </w:t>
      </w:r>
      <w:r>
        <w:rPr>
          <w:color w:val="000000"/>
          <w:sz w:val="32"/>
          <w:szCs w:val="32"/>
        </w:rPr>
        <w:t>基本支出：指为保障机构正常运转、完成日常工作任务而发生的人员支出和公用支出。</w:t>
      </w:r>
    </w:p>
    <w:p>
      <w:pPr>
        <w:pStyle w:val=""/>
        <w:ind w:firstLine="640"/>
      </w:pPr>
      <w:r>
        <w:rPr>
          <w:color w:val="000000"/>
          <w:sz w:val="32"/>
          <w:szCs w:val="32"/>
        </w:rPr>
        <w:t>16.</w:t>
      </w:r>
      <w:r>
        <w:rPr>
          <w:color w:val="000000"/>
          <w:sz w:val="32"/>
          <w:szCs w:val="32"/>
        </w:rPr>
        <w:t xml:space="preserve"> </w:t>
      </w:r>
      <w:r>
        <w:rPr>
          <w:color w:val="000000"/>
          <w:sz w:val="32"/>
          <w:szCs w:val="32"/>
        </w:rPr>
        <w:t xml:space="preserve">项目支出：指在基本支出之外为完成特定行政任务和事业发展目标所发生的支出。 </w:t>
      </w:r>
    </w:p>
    <w:p>
      <w:pPr>
        <w:pStyle w:val="Default"/>
        <w:jc w:val="both"/>
        <w:ind w:firstLine="640"/>
      </w:pPr>
      <w:r>
        <w:rPr>
          <w:rFonts w:ascii="Times New Roman" w:hAnsi="Times New Roman"/>
          <w:sz w:val="32"/>
          <w:szCs w:val="32"/>
        </w:rPr>
        <w:t>17.</w:t>
      </w:r>
      <w:r>
        <w:rPr>
          <w:rFonts w:ascii="Times New Roman" w:hAnsi="Times New Roman"/>
          <w:sz w:val="32"/>
          <w:szCs w:val="32"/>
        </w:rPr>
        <w:t xml:space="preserve"> </w:t>
      </w:r>
      <w:r>
        <w:rPr>
          <w:rFonts w:ascii="Times New Roman" w:hAnsi="Times New Roman"/>
          <w:sz w:val="32"/>
          <w:szCs w:val="32"/>
        </w:rPr>
        <w:t>“三</w:t>
      </w:r>
      <w:r>
        <w:rPr>
          <w:rFonts w:ascii="Times New Roman" w:hAnsi="Times New Roman"/>
          <w:sz w:val="32"/>
          <w:szCs w:val="32"/>
        </w:rPr>
        <w:t>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
        <w:ind w:firstLine="640"/>
        <w:spacing w:line="600" w:lineRule="exact"/>
      </w:pPr>
      <w:r>
        <w:rPr>
          <w:sz w:val="32"/>
          <w:szCs w:val="32"/>
        </w:rPr>
        <w:t>18.</w:t>
      </w:r>
      <w:r>
        <w:rPr>
          <w:sz w:val="32"/>
          <w:szCs w:val="32"/>
        </w:rPr>
        <w:t xml:space="preserve"> </w:t>
      </w:r>
      <w:r>
        <w:rPr>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rPr>
      </w:pPr>
    </w:p>
    <w:p>
      <w:pPr>
        <w:pStyle w:val=""/>
        <w:ind w:firstLine="420"/>
        <w:spacing w:before="93"/>
        <w:rPr>
          <w:rFonts w:ascii="Times New Roman"/>
          <w:sz w:val="30"/>
          <w:szCs w:val="24"/>
        </w:rPr>
      </w:pPr>
    </w:p>
    <w:p>
      <w:pPr>
        <w:pStyle w:val=""/>
        <w:jc w:val="center"/>
        <w:spacing w:line="600" w:lineRule="exact"/>
      </w:pPr>
      <w:r>
        <w:rPr>
          <w:sz w:val="44"/>
          <w:szCs w:val="44"/>
        </w:rPr>
        <w:t>第</w:t>
      </w:r>
      <w:r>
        <w:rPr>
          <w:rStyle w:val="1Char"/>
          <w:b/>
        </w:rPr>
        <w:t>四部分</w:t>
      </w:r>
      <w:r>
        <w:rPr>
          <w:rStyle w:val="1Char"/>
          <w:b/>
        </w:rPr>
        <w:t xml:space="preserve">  </w:t>
      </w:r>
      <w:r>
        <w:rPr>
          <w:rStyle w:val="1Char"/>
          <w:b/>
        </w:rPr>
        <w:t>附件</w:t>
      </w:r>
    </w:p>
    <w:p>
      <w:pPr>
        <w:pStyle w:val=""/>
        <w:spacing w:before="93"/>
        <w:rPr>
          <w:rFonts w:ascii="Times New Roman"/>
        </w:rPr>
      </w:pPr>
    </w:p>
    <w:p>
      <w:pPr>
        <w:pStyle w:val=""/>
        <w:spacing w:before="93"/>
        <w:rPr>
          <w:rFonts w:ascii="Times New Roman"/>
        </w:rPr>
      </w:pPr>
    </w:p>
    <w:p>
      <w:pPr>
        <w:pStyle w:val=""/>
        <w:jc w:val="center"/>
        <w:contextualSpacing/>
        <w:spacing w:line="0" w:lineRule="atLeast"/>
        <w:rPr>
          <w:b/>
          <w:sz w:val="38"/>
          <w:szCs w:val="38"/>
          <w:shd w:fill="FFFFFF"/>
        </w:rPr>
      </w:pPr>
      <w:r>
        <w:rPr>
          <w:b/>
          <w:sz w:val="38"/>
          <w:szCs w:val="38"/>
          <w:shd w:fill="FFFFFF"/>
        </w:rPr>
        <w:t>攀枝花市人民检察院</w:t>
      </w:r>
    </w:p>
    <w:p>
      <w:pPr>
        <w:pStyle w:val=""/>
        <w:jc w:val="center"/>
        <w:contextualSpacing/>
        <w:spacing w:line="0" w:lineRule="atLeast"/>
      </w:pPr>
      <w:r>
        <w:rPr>
          <w:b/>
          <w:sz w:val="38"/>
          <w:szCs w:val="38"/>
          <w:shd w:fill="FFFFFF"/>
        </w:rPr>
        <w:t>2022年度</w:t>
      </w:r>
      <w:r>
        <w:rPr>
          <w:b/>
          <w:sz w:val="38"/>
          <w:szCs w:val="38"/>
          <w:shd w:fill="FFFFFF"/>
        </w:rPr>
        <w:t>部门整体绩效评价报告</w:t>
      </w:r>
    </w:p>
    <w:p>
      <w:pPr>
        <w:pStyle w:val=""/>
        <w:jc w:val="left"/>
        <w:ind w:firstLine="480"/>
        <w:contextualSpacing/>
        <w:spacing w:line="580" w:lineRule="exact"/>
        <w:rPr>
          <w:color w:val="000000"/>
          <w:sz w:val="24"/>
          <w:szCs w:val="32"/>
          <w:shd w:fill="FFFFFF"/>
        </w:rPr>
      </w:pPr>
    </w:p>
    <w:p>
      <w:pPr>
        <w:pStyle w:val=""/>
        <w:ind w:left="420"/>
        <w:ind w:firstLine="320"/>
        <w:contextualSpacing/>
        <w:spacing w:line="560" w:lineRule="exact"/>
      </w:pPr>
      <w:r>
        <w:rPr>
          <w:color w:val="000000"/>
          <w:sz w:val="32"/>
          <w:szCs w:val="32"/>
          <w:shd w:fill="FFFFFF"/>
        </w:rPr>
        <w:t>一、部门基本情况</w:t>
      </w:r>
    </w:p>
    <w:p>
      <w:pPr>
        <w:pStyle w:val=""/>
        <w:ind w:firstLine="643"/>
        <w:contextualSpacing/>
        <w:spacing w:line="560" w:lineRule="exact"/>
      </w:pPr>
      <w:r>
        <w:rPr>
          <w:b/>
          <w:color w:val="000000"/>
          <w:sz w:val="32"/>
          <w:szCs w:val="32"/>
          <w:shd w:fill="FFFFFF"/>
        </w:rPr>
        <w:t>（一）机构组成</w:t>
      </w:r>
    </w:p>
    <w:p>
      <w:pPr>
        <w:pStyle w:val=""/>
        <w:ind w:firstLine="640"/>
        <w:contextualSpacing/>
        <w:spacing w:line="580" w:lineRule="exact"/>
      </w:pPr>
      <w:r>
        <w:rPr>
          <w:color w:val="000000"/>
          <w:sz w:val="32"/>
          <w:szCs w:val="32"/>
          <w:shd w:fill="FFFFFF"/>
        </w:rPr>
        <w:t>遵照五届全国人大一次公议通过的宪法的规定和中央（78）21号文件精神，市和各区、县人民检察院于1979年元月相继恢复重建。现有1个市级检察院，5个县（区）检察院。市检察院现有内设机构</w:t>
      </w:r>
      <w:r>
        <w:rPr>
          <w:color w:val="000000"/>
          <w:sz w:val="32"/>
          <w:szCs w:val="32"/>
          <w:shd w:fill="FFFFFF"/>
        </w:rPr>
        <w:t>16</w:t>
      </w:r>
      <w:r>
        <w:rPr>
          <w:color w:val="000000"/>
          <w:sz w:val="32"/>
          <w:szCs w:val="32"/>
          <w:shd w:fill="FFFFFF"/>
        </w:rPr>
        <w:t>个。</w:t>
      </w:r>
    </w:p>
    <w:p>
      <w:pPr>
        <w:pStyle w:val=""/>
        <w:numPr>
          <w:ilvl w:val="0"/>
          <w:numId w:val="2946791181"/>
        </w:numPr>
        <w:ind w:firstLine="643"/>
        <w:contextualSpacing/>
        <w:spacing w:line="560" w:lineRule="exact"/>
      </w:pPr>
      <w:r>
        <w:rPr>
          <w:b/>
          <w:color w:val="000000"/>
          <w:sz w:val="32"/>
          <w:szCs w:val="32"/>
          <w:shd w:fill="FFFFFF"/>
        </w:rPr>
        <w:t>机构职能和人员概况</w:t>
      </w:r>
    </w:p>
    <w:p>
      <w:pPr>
        <w:pStyle w:val=""/>
        <w:ind w:firstLine="640"/>
        <w:contextualSpacing/>
        <w:spacing w:line="580" w:lineRule="exact"/>
        <w:rPr>
          <w:sz w:val="32"/>
          <w:szCs w:val="32"/>
        </w:rPr>
      </w:pPr>
      <w:r>
        <w:rPr>
          <w:sz w:val="32"/>
          <w:szCs w:val="32"/>
        </w:rPr>
        <w:t xml:space="preserve">1. </w:t>
      </w:r>
      <w:r>
        <w:rPr>
          <w:sz w:val="32"/>
          <w:szCs w:val="32"/>
        </w:rPr>
        <w:t>机构职能</w:t>
      </w:r>
    </w:p>
    <w:p>
      <w:pPr>
        <w:pStyle w:val=""/>
        <w:ind w:firstLine="640"/>
      </w:pPr>
      <w:r>
        <w:rPr>
          <w:sz w:val="32"/>
        </w:rPr>
        <w:t>（1）</w:t>
      </w:r>
      <w:r>
        <w:rPr>
          <w:sz w:val="32"/>
          <w:szCs w:val="32"/>
        </w:rPr>
        <w:t>办公室（代表委员联络部）。负责机关文电、会务、机要、档案、保密等工作。协助院领导处理检察政务，组织协调院重要工作部署、重大决策的贯彻实施。承担综合性绩效考核相关工作。起草审核相关文件文稿，处理检察信息。负责领导同志批办事项督查工作。负责人大代表、政协委员联络工作和特约检察员的联系工作。组织指导人民监督员工作。</w:t>
      </w:r>
    </w:p>
    <w:p>
      <w:pPr>
        <w:pStyle w:val=""/>
        <w:ind w:firstLine="640"/>
      </w:pPr>
      <w:r>
        <w:rPr>
          <w:sz w:val="32"/>
          <w:szCs w:val="32"/>
        </w:rPr>
        <w:t>（2）</w:t>
      </w:r>
      <w:r>
        <w:rPr>
          <w:sz w:val="32"/>
          <w:szCs w:val="32"/>
        </w:rPr>
        <w:t>第一检察部。负责对法律规定由攀枝花市人民检察院办理的危害国家安全、公共安全犯罪，故意杀人、抢劫、毒品等犯罪案件及第二检察部承办案件以外刑事案件的审查逮捕、审查起诉、出庭支持公诉、抗诉，开展相关立案监督、侦查监督、审判监督以及相关案件的补充侦查。办理攀枝花市人民检察院管辖的相关刑事申诉案件。</w:t>
      </w:r>
    </w:p>
    <w:p>
      <w:pPr>
        <w:pStyle w:val=""/>
        <w:ind w:firstLine="640"/>
      </w:pPr>
      <w:r>
        <w:rPr>
          <w:sz w:val="32"/>
          <w:szCs w:val="32"/>
        </w:rPr>
        <w:t>（3）</w:t>
      </w:r>
      <w:r>
        <w:rPr>
          <w:sz w:val="32"/>
          <w:szCs w:val="32"/>
        </w:rPr>
        <w:t>第二检察部。负责对法律规定由攀枝花市人民检察院办理的攀枝花市监察委员会移送职务犯罪案件，破坏社会主义市场经济秩序犯罪案件的审查逮捕、审查起诉、出庭支持公诉、抗诉，开展相关审判监督以及相关案件的补充侦查。办理攀枝花市人民检察院管辖的相关刑事申诉案件。</w:t>
      </w:r>
    </w:p>
    <w:p>
      <w:pPr>
        <w:pStyle w:val=""/>
        <w:ind w:firstLine="640"/>
      </w:pPr>
      <w:r>
        <w:rPr>
          <w:sz w:val="32"/>
          <w:szCs w:val="32"/>
        </w:rPr>
        <w:t>（4）</w:t>
      </w:r>
      <w:r>
        <w:rPr>
          <w:sz w:val="32"/>
          <w:szCs w:val="32"/>
        </w:rPr>
        <w:t>第三检察部。负责对看守所和社区矫正机构等执法活动的监督，对刑事判决、裁定执行、强制医疗执行、羁押和办案期限的监督，羁押必要性审查。办理罪犯又犯罪案件。负责对法律规定由攀枝花市人民检察院办理的司法工作人员利用职权实施的非法拘禁、刑讯逼供、非法搜查等侵犯公民权利、损害司法公正犯罪，以及按照刑事诉讼法规定由人民检察院直接受理的其他重大犯罪案件的侦查。</w:t>
      </w:r>
    </w:p>
    <w:p>
      <w:pPr>
        <w:pStyle w:val=""/>
        <w:ind w:firstLine="640"/>
      </w:pPr>
      <w:r>
        <w:rPr>
          <w:sz w:val="32"/>
          <w:szCs w:val="32"/>
        </w:rPr>
        <w:t>（5）</w:t>
      </w:r>
      <w:r>
        <w:rPr>
          <w:sz w:val="32"/>
          <w:szCs w:val="32"/>
        </w:rPr>
        <w:t>第四检察部。负责办理向攀枝花市人民检察院申请监督和提请抗诉的民事案件的审查、抗诉。承办对攀枝花市中级人民法院民事诉讼活动的法律监督，对审判监督程序以外的其他民事审判程序中审判人员的违法行为提出检察建议，对民事执行活动实行法律监督。开展民事支持起诉工作。办理攀枝花市人民检察院管辖的民事申诉案件。</w:t>
      </w:r>
    </w:p>
    <w:p>
      <w:pPr>
        <w:pStyle w:val=""/>
        <w:ind w:firstLine="640"/>
      </w:pPr>
      <w:r>
        <w:rPr>
          <w:sz w:val="32"/>
          <w:szCs w:val="32"/>
        </w:rPr>
        <w:t>（6）</w:t>
      </w:r>
      <w:r>
        <w:rPr>
          <w:sz w:val="32"/>
          <w:szCs w:val="32"/>
        </w:rPr>
        <w:t>第</w:t>
      </w:r>
      <w:r>
        <w:rPr>
          <w:sz w:val="32"/>
          <w:szCs w:val="32"/>
        </w:rPr>
        <w:t>五检察部。负责办理向攀枝花市人民检察院申请监督和提请抗诉的行政案件的审查、抗诉。承办对攀枝花市中级人民法院行政诉讼活动的法律监督，对审判监督程序以外的其他行政审判程序中审判人员的违法行为提出检察建议，对行政执行活动实行法律监督。办理攀枝花市人民检察院管辖的行政申诉案件。</w:t>
      </w:r>
    </w:p>
    <w:p>
      <w:pPr>
        <w:pStyle w:val=""/>
        <w:ind w:firstLine="640"/>
      </w:pPr>
      <w:r>
        <w:rPr>
          <w:sz w:val="32"/>
          <w:szCs w:val="32"/>
        </w:rPr>
        <w:t>（7）</w:t>
      </w:r>
      <w:r>
        <w:rPr>
          <w:sz w:val="32"/>
          <w:szCs w:val="32"/>
        </w:rPr>
        <w:t>第六检察部。负责办理法律规定由攀枝花市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攀枝花市中级人民法院开庭审理的公益诉讼案件，派员出席法庭，依照有关规定提出检察建议。办理攀枝花市人民检察院管辖的公益诉讼申诉案件。</w:t>
      </w:r>
    </w:p>
    <w:p>
      <w:pPr>
        <w:pStyle w:val=""/>
        <w:ind w:firstLine="640"/>
      </w:pPr>
      <w:r>
        <w:rPr>
          <w:sz w:val="32"/>
          <w:szCs w:val="32"/>
        </w:rPr>
        <w:t>（8）</w:t>
      </w:r>
      <w:r>
        <w:rPr>
          <w:sz w:val="32"/>
          <w:szCs w:val="32"/>
        </w:rPr>
        <w:t>第七检察部。负责对法律规定由攀枝花市人民检察院办理的未成年人犯罪和侵害未成年人犯罪案件的审查逮捕、审查起诉、出庭支持公诉、抗诉，开展相关立案监督、侦查监督、审判监督以及相关案件的补充侦查。开展未成年人司法保护和预防未成年人犯罪工作。</w:t>
      </w:r>
    </w:p>
    <w:p>
      <w:pPr>
        <w:pStyle w:val=""/>
        <w:ind w:firstLine="640"/>
      </w:pPr>
      <w:r>
        <w:rPr>
          <w:sz w:val="32"/>
          <w:szCs w:val="32"/>
        </w:rPr>
        <w:t>（9）</w:t>
      </w:r>
      <w:r>
        <w:rPr>
          <w:sz w:val="32"/>
          <w:szCs w:val="32"/>
        </w:rPr>
        <w:t>第八检察部。负责受理向攀枝花市人民检察院的控告和申诉。承办攀枝花市人民检察院管辖的国家赔偿案件和国家司法救助案件。</w:t>
      </w:r>
    </w:p>
    <w:p>
      <w:pPr>
        <w:pStyle w:val=""/>
        <w:ind w:firstLine="640"/>
      </w:pPr>
      <w:r>
        <w:rPr>
          <w:sz w:val="32"/>
          <w:szCs w:val="32"/>
        </w:rPr>
        <w:t>（10）</w:t>
      </w:r>
      <w:r>
        <w:rPr>
          <w:sz w:val="32"/>
          <w:szCs w:val="32"/>
        </w:rPr>
        <w:t>法律政策研究室。负责法律政策、检察基础理论、检察应用理论、法治建设等方面的调查研究工作。对征求攀枝花市人民检察院意见的立法、地方立法草案进行研究，提出修改意见和建议。负责检察委员会、检察官协会、专家咨询委员会的日常工作。编辑有关检察刊物。负责司法体制改革综合协调相关工作。</w:t>
      </w:r>
    </w:p>
    <w:p>
      <w:pPr>
        <w:pStyle w:val=""/>
        <w:ind w:firstLine="640"/>
      </w:pPr>
      <w:r>
        <w:rPr>
          <w:sz w:val="32"/>
          <w:szCs w:val="32"/>
        </w:rPr>
        <w:t>（11）</w:t>
      </w:r>
      <w:r>
        <w:rPr>
          <w:sz w:val="32"/>
          <w:szCs w:val="32"/>
        </w:rPr>
        <w:t xml:space="preserve"> </w:t>
      </w:r>
      <w:r>
        <w:rPr>
          <w:sz w:val="32"/>
          <w:szCs w:val="32"/>
        </w:rPr>
        <w:t>案件管理办公室。负责案件的统一受理流转、办案流程监控、涉案财物监管、法律文书监管、案件信息公开。统一组织办案质量评查、业务考评和业务统计分析研判。负责接待律师等诉讼参与人依法行使诉讼权利。负责业务信息化需求统筹，指导全市检察机关统一业务应用系统的应用。</w:t>
      </w:r>
    </w:p>
    <w:p>
      <w:pPr>
        <w:pStyle w:val=""/>
        <w:ind w:firstLine="640"/>
      </w:pPr>
      <w:r>
        <w:rPr>
          <w:sz w:val="32"/>
          <w:szCs w:val="32"/>
        </w:rPr>
        <w:t>（12）</w:t>
      </w:r>
      <w:r>
        <w:rPr>
          <w:sz w:val="32"/>
          <w:szCs w:val="32"/>
        </w:rPr>
        <w:t>计划财务装备部。制定实施全市检察机关财务和装备规划，编制攀枝花市人民检察院支出规划和部门预决算。负责攀枝花市人民检察院本级财务管理、国有资产管理、政府采购等工作。负责攀枝花市人民检察院职工工资发放，以及内部保卫、办公场所、公务车辆、枪支弹药等机关管理工作。</w:t>
      </w:r>
    </w:p>
    <w:p>
      <w:pPr>
        <w:pStyle w:val=""/>
        <w:ind w:firstLine="640"/>
      </w:pPr>
      <w:r>
        <w:rPr>
          <w:sz w:val="32"/>
          <w:szCs w:val="32"/>
        </w:rPr>
        <w:t>（13）</w:t>
      </w:r>
      <w:r>
        <w:rPr>
          <w:sz w:val="32"/>
          <w:szCs w:val="32"/>
        </w:rPr>
        <w:t>检</w:t>
      </w:r>
      <w:r>
        <w:rPr>
          <w:sz w:val="32"/>
          <w:szCs w:val="32"/>
        </w:rPr>
        <w:t>务督察部（巡察工作领导小组办公室）。承担对全市检察机关执行法律、法规和最高人民检察院、四川省人民检察院、攀枝花市人民检察院规定、决定等情况进行督察。承担内部审计工作。承担攀枝花市人民检察院党组巡察工作领导小组日常工作。</w:t>
      </w:r>
    </w:p>
    <w:p>
      <w:pPr>
        <w:pStyle w:val=""/>
        <w:ind w:firstLine="640"/>
      </w:pPr>
      <w:r>
        <w:rPr>
          <w:sz w:val="32"/>
          <w:szCs w:val="32"/>
        </w:rPr>
        <w:t>（14）</w:t>
      </w:r>
      <w:r>
        <w:rPr>
          <w:sz w:val="32"/>
          <w:szCs w:val="32"/>
        </w:rPr>
        <w:t>检察技术信息部。负责指导全市检察技术工作，组织全市检察机关重大技术疑难案件会检。制定全市检察机关技术工作计划和业务规章制度。依职权组织全市检察技术人员的业务培训和职称评定。受理和承办各类案件的现场勘验、检验鉴定和技术性证据审查。负责全市检察信息化和智慧检察的总体规划和统筹推进。承担相关软件研制、开发、推广和维护。负责全市检察机关通信网络系统管理和维护，承担三级专线网、检察工作网、互联网等网络的建设、维护和管理。组织有关信息技术培训。</w:t>
      </w:r>
    </w:p>
    <w:p>
      <w:pPr>
        <w:pStyle w:val=""/>
        <w:ind w:firstLine="640"/>
      </w:pPr>
      <w:r>
        <w:rPr>
          <w:sz w:val="32"/>
          <w:szCs w:val="32"/>
        </w:rPr>
        <w:t>（15）</w:t>
      </w:r>
      <w:r>
        <w:rPr>
          <w:sz w:val="32"/>
          <w:szCs w:val="32"/>
        </w:rPr>
        <w:t>警务部（司法警察支队）。负责指导全市检察机关司法警察队伍建设。贯彻落实司法警察条例并制定相关规划，组织司法警察执行办案场所警戒、人员押解和看管等警务事项。指导检查监督下级检察院司法警察履行职责和执行法律、法规情况。负责组织全市检察机关司法警察业务培训。组织协调全市检察机关跨区域重大警务活动。协调配置、管理司法警察的警用装备。</w:t>
      </w:r>
    </w:p>
    <w:p>
      <w:pPr>
        <w:pStyle w:val=""/>
        <w:ind w:firstLine="640"/>
      </w:pPr>
      <w:r>
        <w:rPr>
          <w:sz w:val="32"/>
          <w:szCs w:val="32"/>
        </w:rPr>
        <w:t>（16）</w:t>
      </w:r>
      <w:r>
        <w:rPr>
          <w:sz w:val="32"/>
          <w:szCs w:val="32"/>
        </w:rPr>
        <w:t>政治部（离退休人员工作处）。负责本部门本系统思想政治工作和新闻宣传、舆论引导及组织人事、教育培训等工作。负责离退休人员工作。政治部（离退休人员工作处）内设干部处、宣教处、综合处。</w:t>
      </w:r>
    </w:p>
    <w:p>
      <w:pPr>
        <w:pStyle w:val=""/>
        <w:ind w:firstLine="640"/>
      </w:pPr>
      <w:r>
        <w:rPr>
          <w:sz w:val="32"/>
          <w:szCs w:val="32"/>
        </w:rPr>
        <w:t>纪检监察机构和机关党委（办），按有关规定设置。</w:t>
      </w:r>
    </w:p>
    <w:p>
      <w:pPr>
        <w:pStyle w:val=""/>
        <w:ind w:firstLine="640"/>
        <w:contextualSpacing/>
        <w:spacing w:line="580" w:lineRule="exact"/>
      </w:pPr>
      <w:r>
        <w:rPr>
          <w:sz w:val="32"/>
          <w:szCs w:val="32"/>
        </w:rPr>
        <w:t xml:space="preserve">2. </w:t>
      </w:r>
      <w:r>
        <w:rPr>
          <w:sz w:val="32"/>
          <w:szCs w:val="32"/>
        </w:rPr>
        <w:t>人员概况。</w:t>
      </w:r>
    </w:p>
    <w:p>
      <w:pPr>
        <w:pStyle w:val=""/>
        <w:ind w:firstLine="640"/>
        <w:contextualSpacing/>
        <w:spacing w:line="580" w:lineRule="exact"/>
      </w:pPr>
      <w:r>
        <w:rPr>
          <w:sz w:val="32"/>
          <w:szCs w:val="32"/>
        </w:rPr>
        <w:t>截至2022年末，我单位行政编制94人，其中政法专项编制87人，工勤编制7人。实有在职人员95人（含派驻纪检组4人）,离休人员1人、退休人员72人，总计168人。</w:t>
      </w:r>
    </w:p>
    <w:p>
      <w:pPr>
        <w:pStyle w:val=""/>
        <w:ind w:firstLine="643"/>
        <w:contextualSpacing/>
        <w:spacing w:line="560" w:lineRule="exact"/>
      </w:pPr>
      <w:r>
        <w:rPr>
          <w:b/>
          <w:color w:val="000000"/>
          <w:sz w:val="32"/>
          <w:szCs w:val="32"/>
          <w:shd w:fill="FFFFFF"/>
        </w:rPr>
        <w:t>（三）年度主要工作任务</w:t>
      </w:r>
    </w:p>
    <w:p>
      <w:pPr>
        <w:pStyle w:val=""/>
        <w:ind w:firstLine="640"/>
        <w:spacing w:line="600" w:lineRule="exact"/>
      </w:pPr>
      <w:r>
        <w:rPr>
          <w:sz w:val="32"/>
          <w:szCs w:val="32"/>
        </w:rPr>
        <w:t>深入学习贯彻习近平新时代中国特色社会主义思想，全面贯彻党的十九大和十九届二中、三中、四中、五中、六中全会和省委、市委历次全会精神，聚焦市第十一次党代会确定的目标任务，更加注重系统观念、法治思维、强基导向，切实推动新时代检察工作高质量发展，为市委“一三三三”总体发展战略提供更加坚强法治保障。</w:t>
      </w:r>
    </w:p>
    <w:p>
      <w:pPr>
        <w:pStyle w:val=""/>
        <w:ind w:firstLine="640"/>
        <w:spacing w:line="600" w:lineRule="exact"/>
      </w:pPr>
      <w:r>
        <w:rPr>
          <w:sz w:val="32"/>
          <w:szCs w:val="32"/>
        </w:rPr>
        <w:t>1.</w:t>
      </w:r>
      <w:r>
        <w:rPr>
          <w:sz w:val="32"/>
          <w:szCs w:val="32"/>
        </w:rPr>
        <w:t xml:space="preserve"> </w:t>
      </w:r>
      <w:r>
        <w:rPr>
          <w:sz w:val="32"/>
          <w:szCs w:val="32"/>
        </w:rPr>
        <w:t>进一步加强党的绝对领导。把坚持和加强党的绝对领导贯穿检察工作始终，坚决贯彻执行政法工作条例，不断提高政治判断力、政治领悟力和政治执行力，把增强“四个意识”、坚定“四个自信”、做到“两个维护”融入检察履职。牢牢把握党组总揽全局、协调各方、引领检察工作的核心作用，积极探索更加符合司法规律的检察工作体制机制，确保市委各项决策部署在检察机关落地落实。</w:t>
      </w:r>
    </w:p>
    <w:p>
      <w:pPr>
        <w:pStyle w:val=""/>
        <w:ind w:firstLine="640"/>
        <w:spacing w:line="600" w:lineRule="exact"/>
      </w:pPr>
      <w:r>
        <w:rPr>
          <w:sz w:val="32"/>
          <w:szCs w:val="32"/>
        </w:rPr>
        <w:t>2.</w:t>
      </w:r>
      <w:r>
        <w:rPr>
          <w:sz w:val="32"/>
          <w:szCs w:val="32"/>
        </w:rPr>
        <w:t xml:space="preserve"> </w:t>
      </w:r>
      <w:r>
        <w:rPr>
          <w:sz w:val="32"/>
          <w:szCs w:val="32"/>
        </w:rPr>
        <w:t>进一步增强提升服务大局质效的政治自觉。维护国家政治安全和社会安定，巩固拓展防范化解重大金融风险攻坚战成果，推动扫黑除恶常态化。深化司法为民，助力乡村振兴，积极办理公益受损严重、人民群众反映强烈的公益诉讼案件，筑牢长江上游生态屏障。把保障转型升级和创新驱动摆在首位，完善检察办案保护创新创业容错机制，运用法治思维和法治方式服务企业绿色创新、绿色发展。</w:t>
      </w:r>
    </w:p>
    <w:p>
      <w:pPr>
        <w:pStyle w:val=""/>
        <w:ind w:firstLine="640"/>
        <w:spacing w:line="600" w:lineRule="exact"/>
      </w:pPr>
      <w:r>
        <w:rPr>
          <w:sz w:val="32"/>
          <w:szCs w:val="32"/>
        </w:rPr>
        <w:t>3.</w:t>
      </w:r>
      <w:r>
        <w:rPr>
          <w:sz w:val="32"/>
          <w:szCs w:val="32"/>
        </w:rPr>
        <w:t xml:space="preserve"> </w:t>
      </w:r>
      <w:r>
        <w:rPr>
          <w:sz w:val="32"/>
          <w:szCs w:val="32"/>
        </w:rPr>
        <w:t>进一步增强推进市域社会治理现代化的法治自觉。抓实《中共中央关于加强新时代检察机关法律监督工作的意见》的贯彻落实，推进检察监督案件化、规范化、专业化建设。通过检察办案找准社会治理难点、痛点和堵点，以检察建议助推源头治理和系统治理。落实“少捕慎诉慎押”司法理念，推动完善矛盾纠纷多元化解机制，提升人民群众对检察机关的满意度。</w:t>
      </w:r>
    </w:p>
    <w:p>
      <w:pPr>
        <w:pStyle w:val=""/>
        <w:ind w:firstLine="640"/>
        <w:spacing w:line="600" w:lineRule="exact"/>
      </w:pPr>
      <w:r>
        <w:rPr>
          <w:sz w:val="32"/>
          <w:szCs w:val="32"/>
        </w:rPr>
        <w:t>4.</w:t>
      </w:r>
      <w:r>
        <w:rPr>
          <w:sz w:val="32"/>
          <w:szCs w:val="32"/>
        </w:rPr>
        <w:t xml:space="preserve"> </w:t>
      </w:r>
      <w:r>
        <w:rPr>
          <w:sz w:val="32"/>
          <w:szCs w:val="32"/>
        </w:rPr>
        <w:t>进一步增强实现自身高质量发展的检察自觉。以“捕诉一体”等为抓手做优刑事检察，做好民事检察、行政检察精准监督文章，积极稳妥拓展公益诉讼范围，推动“四大检察”“十大业务”全面协调充分发展。积极推广运用大数据、人工智能等现代科技手段，深化司法责任制综合配套改革。以巡察整改和巩固深化政法队伍教育整顿成果为契机，纵深推进全面从严治党从严治检，努力打造新时代检察铁军。</w:t>
      </w:r>
    </w:p>
    <w:p>
      <w:pPr>
        <w:pStyle w:val=""/>
        <w:ind w:firstLine="643"/>
        <w:contextualSpacing/>
        <w:spacing w:line="560" w:lineRule="exact"/>
      </w:pPr>
      <w:r>
        <w:rPr>
          <w:b/>
          <w:color w:val="000000"/>
          <w:sz w:val="32"/>
          <w:szCs w:val="32"/>
          <w:shd w:fill="FFFFFF"/>
        </w:rPr>
        <w:t>（四）部门整体支出绩效目标</w:t>
      </w:r>
    </w:p>
    <w:p>
      <w:pPr>
        <w:pStyle w:val=""/>
        <w:ind w:firstLine="640"/>
        <w:spacing w:before="93"/>
      </w:pPr>
      <w:r>
        <w:rPr>
          <w:rFonts w:ascii="Times New Roman"/>
          <w:sz w:val="32"/>
          <w:szCs w:val="32"/>
        </w:rPr>
        <w:t>全力守护公平正义，传递人民检察为人民的检察情怀：全面提高办案效率，忠实履行宪法和法律赋予的职责；提高社会综合治理工作，有效化解社会矛盾纠纷；严格打造过硬检察队伍，凸显持之以恒正风肃纪的检察定力；牢固树立“过紧日子”的思想，聚焦新时代检察工作大局，为推动四大检察”“十大业务”全面协调发展提供有力的经费和物质保障。</w:t>
      </w:r>
    </w:p>
    <w:p>
      <w:pPr>
        <w:pStyle w:val=""/>
        <w:ind w:firstLine="640"/>
        <w:contextualSpacing/>
        <w:spacing w:line="580" w:lineRule="exact"/>
      </w:pPr>
      <w:r>
        <w:rPr>
          <w:color w:val="000000"/>
          <w:sz w:val="32"/>
          <w:szCs w:val="32"/>
          <w:shd w:fill="FFFFFF"/>
        </w:rPr>
        <w:t>二、部门资金收支情况</w:t>
      </w:r>
    </w:p>
    <w:p>
      <w:pPr>
        <w:pStyle w:val=""/>
        <w:ind w:firstLine="643"/>
        <w:contextualSpacing/>
        <w:spacing w:line="560" w:lineRule="exact"/>
      </w:pPr>
      <w:r>
        <w:rPr>
          <w:b/>
          <w:sz w:val="32"/>
          <w:szCs w:val="32"/>
          <w:shd w:fill="FFFFFF"/>
        </w:rPr>
        <w:t>（一）部门财政资金收入情况</w:t>
      </w:r>
    </w:p>
    <w:p>
      <w:pPr>
        <w:pStyle w:val=""/>
        <w:ind w:firstLine="640"/>
        <w:contextualSpacing/>
        <w:spacing w:line="580" w:lineRule="exact"/>
      </w:pPr>
      <w:r>
        <w:rPr>
          <w:sz w:val="32"/>
          <w:szCs w:val="32"/>
        </w:rPr>
        <w:t>攀枝花市人民检察院为财政全额拨款单位，部门资金来源均为财政拨款。2022年一般公共预算财政拨款3,096.67万元,同比减少548.36万元，降低15.04%。政府性基金预算0万元，国有资本经营预算0万元。</w:t>
      </w:r>
    </w:p>
    <w:p>
      <w:pPr>
        <w:pStyle w:val=""/>
        <w:ind w:firstLine="643"/>
        <w:contextualSpacing/>
        <w:spacing w:line="560" w:lineRule="exact"/>
      </w:pPr>
      <w:r>
        <w:rPr>
          <w:b/>
          <w:color w:val="000000"/>
          <w:sz w:val="32"/>
          <w:szCs w:val="32"/>
          <w:shd w:fill="FFFFFF"/>
        </w:rPr>
        <w:t>（二）</w:t>
      </w:r>
      <w:r>
        <w:rPr>
          <w:b/>
          <w:sz w:val="32"/>
          <w:szCs w:val="32"/>
          <w:shd w:fill="FFFFFF"/>
        </w:rPr>
        <w:t>部门财政资金支出情况</w:t>
      </w:r>
    </w:p>
    <w:p>
      <w:pPr>
        <w:pStyle w:val=""/>
        <w:ind w:firstLine="640"/>
        <w:contextualSpacing/>
        <w:spacing w:line="580" w:lineRule="exact"/>
      </w:pPr>
      <w:r>
        <w:rPr>
          <w:sz w:val="32"/>
          <w:szCs w:val="32"/>
        </w:rPr>
        <w:t>2022年总支出3,166.23万元。</w:t>
      </w:r>
    </w:p>
    <w:p>
      <w:pPr>
        <w:pStyle w:val=""/>
        <w:ind w:firstLine="640"/>
        <w:contextualSpacing/>
        <w:spacing w:line="580" w:lineRule="exact"/>
      </w:pPr>
      <w:r>
        <w:rPr>
          <w:sz w:val="32"/>
          <w:szCs w:val="32"/>
        </w:rPr>
        <w:t xml:space="preserve">1. </w:t>
      </w:r>
      <w:r>
        <w:rPr>
          <w:sz w:val="32"/>
          <w:szCs w:val="32"/>
        </w:rPr>
        <w:t>公共安全支出253,7.07万元，主要用于：检察院工作人员工资、日常运转以及为完成法律监督工作任务和事业发展目标而安排的年度项目支出、会议费支出、培训费支出等。</w:t>
      </w:r>
    </w:p>
    <w:p>
      <w:pPr>
        <w:pStyle w:val=""/>
        <w:ind w:firstLine="640"/>
        <w:contextualSpacing/>
        <w:spacing w:line="580" w:lineRule="exact"/>
      </w:pPr>
      <w:r>
        <w:rPr>
          <w:sz w:val="32"/>
          <w:szCs w:val="32"/>
        </w:rPr>
        <w:t xml:space="preserve">2. </w:t>
      </w:r>
      <w:r>
        <w:rPr>
          <w:sz w:val="32"/>
          <w:szCs w:val="32"/>
        </w:rPr>
        <w:t>社会保障和就业支出420.61万元，主要用于：检察院离退休人员支出和在职养老金、职业年金、医疗费的缴费。</w:t>
      </w:r>
    </w:p>
    <w:p>
      <w:pPr>
        <w:pStyle w:val=""/>
        <w:ind w:firstLine="640"/>
        <w:contextualSpacing/>
        <w:spacing w:line="580" w:lineRule="exact"/>
      </w:pPr>
      <w:r>
        <w:rPr>
          <w:sz w:val="32"/>
          <w:szCs w:val="32"/>
        </w:rPr>
        <w:t xml:space="preserve">3. </w:t>
      </w:r>
      <w:r>
        <w:rPr>
          <w:sz w:val="32"/>
          <w:szCs w:val="32"/>
        </w:rPr>
        <w:t>住房保障支出205.93万元，主要用于：按照规定标准为职工缴纳住房公积金等支出。</w:t>
      </w:r>
    </w:p>
    <w:p>
      <w:pPr>
        <w:pStyle w:val=""/>
        <w:ind w:firstLine="640"/>
        <w:contextualSpacing/>
        <w:spacing w:line="580" w:lineRule="exact"/>
      </w:pPr>
      <w:r>
        <w:rPr>
          <w:sz w:val="32"/>
          <w:szCs w:val="32"/>
        </w:rPr>
        <w:t xml:space="preserve">4. </w:t>
      </w:r>
      <w:r>
        <w:rPr>
          <w:sz w:val="32"/>
          <w:szCs w:val="32"/>
        </w:rPr>
        <w:t>医疗卫生与计划生育支出25.73万元，主要用于：职工医疗保险支出。</w:t>
      </w:r>
    </w:p>
    <w:p>
      <w:pPr>
        <w:pStyle w:val=""/>
        <w:jc w:val="left"/>
        <w:ind w:firstLine="640"/>
        <w:contextualSpacing/>
        <w:spacing w:line="580" w:lineRule="exact"/>
        <w:rPr>
          <w:sz w:val="32"/>
          <w:szCs w:val="32"/>
        </w:rPr>
      </w:pPr>
      <w:r>
        <w:rPr>
          <w:sz w:val="32"/>
          <w:szCs w:val="32"/>
        </w:rPr>
        <w:t xml:space="preserve">5. </w:t>
      </w:r>
      <w:r>
        <w:rPr>
          <w:sz w:val="32"/>
          <w:szCs w:val="32"/>
        </w:rPr>
        <w:t>一般公共服务支出2.62万元，用于挂职干部补助。</w:t>
      </w:r>
    </w:p>
    <w:tbl>
      <w:tblPr>
        <w:jc w:val="center"/>
        <w:tblStyle w:val="普通表格"/>
        <w:tblLook w:val="1E0"/>
        <w:tblW w:w="8806" w:type="dxa"/>
      </w:tblPr>
      <w:tblGrid>
        <w:gridCol w:w="2391"/>
        <w:gridCol w:w="1365"/>
        <w:gridCol w:w="1571"/>
        <w:gridCol w:w="1600"/>
        <w:gridCol w:w="1879"/>
      </w:tblGrid>
      <w:tr>
        <w:trPr>
          <w:trHeight w:val="943" w:hRule="atLeas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收   入</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r>
              <w:rPr>
                <w:sz w:val="22"/>
              </w:rPr>
              <w:t>2022年预算年初安排数</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2022年执行数（2022年财政收入数）</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2021年执行数（2021年财政收入数）</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变化原因</w:t>
            </w: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一</w:t>
            </w:r>
            <w:r>
              <w:rPr>
                <w:sz w:val="22"/>
              </w:rPr>
              <w:t>般公共预算财政拨款</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r>
              <w:rPr>
                <w:sz w:val="22"/>
              </w:rPr>
              <w:t>2,765.73</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3,096.67</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3,591.25</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本年财政拨款减少</w:t>
            </w:r>
          </w:p>
        </w:tc>
      </w:tr>
      <w:tr>
        <w:trPr>
          <w:trHeight w:val="1021"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支    出</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260" w:lineRule="exact"/>
            </w:pPr>
            <w:r>
              <w:rPr>
                <w:sz w:val="22"/>
              </w:rPr>
              <w:t>2022年预算年初安排数</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260" w:lineRule="exact"/>
            </w:pPr>
            <w:r>
              <w:rPr>
                <w:sz w:val="22"/>
              </w:rPr>
              <w:t>2022年执行数（2022年财政支出数）</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260" w:lineRule="exact"/>
            </w:pPr>
            <w:r>
              <w:rPr>
                <w:sz w:val="22"/>
              </w:rPr>
              <w:t>2021年执行数（2021年财政支出数）</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变化原因</w:t>
            </w: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一、基本支出</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r>
              <w:rPr>
                <w:sz w:val="22"/>
              </w:rPr>
              <w:t>2,765.73</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2,921.67</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2,774.03</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人员经费</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r>
              <w:rPr>
                <w:sz w:val="22"/>
              </w:rPr>
              <w:t>2,399.55</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2,641.45</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2,558.42</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本年人员经费增加</w:t>
            </w: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日常公用经费</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r>
              <w:rPr>
                <w:sz w:val="22"/>
              </w:rPr>
              <w:t>366.18</w:t>
            </w: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280.22</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215.61</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厉行节约</w:t>
            </w: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二、项目支出</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r>
              <w:rPr>
                <w:sz w:val="22"/>
              </w:rPr>
              <w:t>244.56</w:t>
            </w: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856.92</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r>
              <w:rPr>
                <w:sz w:val="22"/>
              </w:rPr>
              <w:t>部分项目支出本年末未完成支付</w:t>
            </w:r>
          </w:p>
        </w:tc>
      </w:tr>
      <w:tr>
        <w:trPr>
          <w:trHeight w:val="794" w:hRule="exact"/>
        </w:trPr>
        <w:tc>
          <w:tcPr>
            <w:tcBorders>
              <w:top w:val="single" w:sz="8" w:color="000000" w:space="0"/>
              <w:bottom w:val="single" w:sz="8" w:color="000000" w:space="0"/>
              <w:left w:val="single" w:sz="8" w:color="000000" w:space="0"/>
              <w:right w:val="single" w:sz="8" w:color="000000" w:space="0"/>
            </w:tcBorders>
            <w:vAlign w:val="center"/>
            <w:tcW w:w="2391" w:type="dxa"/>
          </w:tcPr>
          <w:p>
            <w:pPr>
              <w:pStyle w:val=""/>
              <w:jc w:val="center"/>
              <w:spacing w:line="320" w:lineRule="exact"/>
            </w:pPr>
            <w:r>
              <w:rPr>
                <w:sz w:val="22"/>
              </w:rPr>
              <w:t>其</w:t>
            </w:r>
            <w:r>
              <w:rPr>
                <w:sz w:val="22"/>
              </w:rPr>
              <w:t>中：基本建设类项目</w:t>
            </w:r>
          </w:p>
        </w:tc>
        <w:tc>
          <w:tcPr>
            <w:tcBorders>
              <w:top w:val="single" w:sz="8" w:color="000000" w:space="0"/>
              <w:bottom w:val="single" w:sz="8" w:color="000000" w:space="0"/>
              <w:left w:val="single" w:sz="8" w:color="000000" w:space="0"/>
              <w:right w:val="single" w:sz="8" w:color="000000" w:space="0"/>
            </w:tcBorders>
            <w:vAlign w:val="center"/>
            <w:tcW w:w="1365" w:type="dxa"/>
          </w:tcPr>
          <w:p>
            <w:pPr>
              <w:pStyle w:val=""/>
              <w:jc w:val="center"/>
              <w:spacing w:line="320" w:lineRule="exact"/>
            </w:pPr>
          </w:p>
        </w:tc>
        <w:tc>
          <w:tcPr>
            <w:tcBorders>
              <w:top w:val="single" w:sz="8" w:color="000000" w:space="0"/>
              <w:bottom w:val="single" w:sz="8" w:color="000000" w:space="0"/>
              <w:left w:val="single" w:sz="8" w:color="000000" w:space="0"/>
              <w:right w:val="single" w:sz="8" w:color="000000" w:space="0"/>
            </w:tcBorders>
            <w:vAlign w:val="center"/>
            <w:tcW w:w="1571" w:type="dxa"/>
          </w:tcPr>
          <w:p>
            <w:pPr>
              <w:pStyle w:val=""/>
              <w:jc w:val="center"/>
              <w:spacing w:line="320" w:lineRule="exact"/>
            </w:pPr>
          </w:p>
        </w:tc>
        <w:tc>
          <w:tcPr>
            <w:tcBorders>
              <w:top w:val="single" w:sz="8" w:color="000000" w:space="0"/>
              <w:bottom w:val="single" w:sz="8" w:color="000000" w:space="0"/>
              <w:left w:val="single" w:sz="8" w:color="000000" w:space="0"/>
              <w:right w:val="single" w:sz="8" w:color="000000" w:space="0"/>
            </w:tcBorders>
            <w:vAlign w:val="center"/>
            <w:tcW w:w="1600" w:type="dxa"/>
          </w:tcPr>
          <w:p>
            <w:pPr>
              <w:pStyle w:val=""/>
              <w:jc w:val="center"/>
              <w:spacing w:line="320" w:lineRule="exact"/>
            </w:pPr>
            <w:r>
              <w:rPr>
                <w:sz w:val="22"/>
              </w:rPr>
              <w:t>600.00</w:t>
            </w:r>
          </w:p>
        </w:tc>
        <w:tc>
          <w:tcPr>
            <w:tcBorders>
              <w:top w:val="single" w:sz="8" w:color="000000" w:space="0"/>
              <w:bottom w:val="single" w:sz="8" w:color="000000" w:space="0"/>
              <w:left w:val="single" w:sz="8" w:color="000000" w:space="0"/>
              <w:right w:val="single" w:sz="8" w:color="000000" w:space="0"/>
            </w:tcBorders>
            <w:vAlign w:val="center"/>
            <w:tcW w:w="1879" w:type="dxa"/>
          </w:tcPr>
          <w:p>
            <w:pPr>
              <w:pStyle w:val=""/>
              <w:jc w:val="center"/>
              <w:spacing w:line="320" w:lineRule="exact"/>
            </w:pPr>
          </w:p>
        </w:tc>
      </w:tr>
    </w:tbl>
    <w:p>
      <w:pPr>
        <w:pStyle w:val=""/>
        <w:jc w:val="left"/>
        <w:ind w:left="640"/>
        <w:contextualSpacing/>
        <w:spacing w:line="580" w:lineRule="exact"/>
      </w:pPr>
      <w:r>
        <w:rPr>
          <w:color w:val="000000"/>
          <w:sz w:val="32"/>
          <w:szCs w:val="32"/>
          <w:shd w:fill="FFFFFF"/>
        </w:rPr>
        <w:t>三、部门整体绩效分析</w:t>
      </w:r>
    </w:p>
    <w:p>
      <w:pPr>
        <w:pStyle w:val=""/>
        <w:ind w:firstLine="643"/>
        <w:contextualSpacing/>
        <w:spacing w:line="560" w:lineRule="exact"/>
        <w:rPr>
          <w:b/>
          <w:color w:val="000000"/>
          <w:sz w:val="32"/>
          <w:szCs w:val="32"/>
          <w:shd w:fill="FFFFFF"/>
        </w:rPr>
      </w:pPr>
      <w:r>
        <w:rPr>
          <w:b/>
          <w:sz w:val="32"/>
          <w:szCs w:val="32"/>
          <w:shd w:fill="FFFFFF"/>
        </w:rPr>
        <w:t>（一）部门预算项目绩效分析</w:t>
      </w:r>
    </w:p>
    <w:p>
      <w:pPr>
        <w:pStyle w:val=""/>
        <w:ind w:firstLine="640"/>
        <w:contextualSpacing/>
        <w:spacing w:line="580" w:lineRule="exact"/>
      </w:pPr>
      <w:r>
        <w:rPr>
          <w:color w:val="000000"/>
          <w:sz w:val="32"/>
          <w:szCs w:val="32"/>
        </w:rPr>
        <w:t>2022年攀枝花市人民检察院预算安排财政拨款支出主要用于保障该部门机构正常运转、完成日常工作任务以及承担检察业务相关工作。其中：人员经费2,641.45万元，包括基本工资、津贴补贴、工会经费等人员经费，按照预算安排足额发放到位,按预算安排支付率为100%。公用经费280.22万元，用于保障检察院部门内设机构正常运转的日常支出，包括办公费、印刷费、水电费等日常公用经费。按照厉行节俭的原则，严控公用经费支出。项目支出244.56万元，用于保障业务部门为完成特定的检察业务工作任务，用于专项业务工作的经费支出，如司法救助。人员类、公用经费类和项目类拨款支付均无违规记录。</w:t>
      </w:r>
    </w:p>
    <w:p>
      <w:pPr>
        <w:pStyle w:val=""/>
        <w:ind w:firstLine="643"/>
        <w:contextualSpacing/>
        <w:spacing w:line="560" w:lineRule="exact"/>
      </w:pPr>
      <w:r>
        <w:rPr>
          <w:b/>
          <w:sz w:val="32"/>
          <w:szCs w:val="32"/>
          <w:shd w:fill="FFFFFF"/>
        </w:rPr>
        <w:t>（二）部门整体履职绩效分析</w:t>
      </w:r>
    </w:p>
    <w:p>
      <w:pPr>
        <w:pStyle w:val=""/>
        <w:ind w:firstLine="640"/>
      </w:pPr>
      <w:r>
        <w:rPr>
          <w:rFonts w:ascii="Times New Roman"/>
          <w:sz w:val="32"/>
          <w:szCs w:val="32"/>
        </w:rPr>
        <w:t>2022年，在市委和省检察院坚强领导下，在市人大及其常委会有力监督下，在市政府、市政协和社会各界关心支持下，市检察院坚持以习近平新时代中国特色社会主义思想为指导，深入践行习近平法治思想，全面贯彻党的十九大、十九届历次全会和党的二十大精神，深入落实省委“讲政治、抓发展、惠民生、保安全”工作总思路和市委“一三三三”总体发展战略，全市检察机关共办理各类案件4213件，17项业务指标位于全省第一方阵，为大局服务、为人民司法的法治保障作用更加彰显，检察工作在两个百年交汇节点呈现持续向好态势。</w:t>
      </w:r>
    </w:p>
    <w:p>
      <w:pPr>
        <w:pStyle w:val=""/>
        <w:ind w:firstLine="643"/>
        <w:contextualSpacing/>
        <w:spacing w:line="560" w:lineRule="exact"/>
      </w:pPr>
      <w:r>
        <w:rPr>
          <w:b/>
          <w:color w:val="000000"/>
          <w:sz w:val="32"/>
          <w:szCs w:val="32"/>
          <w:shd w:fill="FFFFFF"/>
        </w:rPr>
        <w:t>（</w:t>
      </w:r>
      <w:r>
        <w:rPr>
          <w:b/>
          <w:sz w:val="32"/>
          <w:szCs w:val="32"/>
          <w:shd w:fill="FFFFFF"/>
        </w:rPr>
        <w:t>三</w:t>
      </w:r>
      <w:r>
        <w:rPr>
          <w:b/>
          <w:color w:val="000000"/>
          <w:sz w:val="32"/>
          <w:szCs w:val="32"/>
          <w:shd w:fill="FFFFFF"/>
        </w:rPr>
        <w:t>）结果应用情况</w:t>
      </w:r>
    </w:p>
    <w:p>
      <w:pPr>
        <w:pStyle w:val=""/>
        <w:ind w:firstLine="640"/>
        <w:contextualSpacing/>
        <w:spacing w:line="580" w:lineRule="exact"/>
      </w:pPr>
      <w:r>
        <w:rPr>
          <w:color w:val="000000"/>
          <w:sz w:val="32"/>
          <w:szCs w:val="32"/>
        </w:rPr>
        <w:t>我单位切实加强组织领导，明确职能职责，加强对部门预算绩效管理，对2022年所有项目进行监控，并进行汇总分析，强化结果应用，结合项目的具体情况，对支出进度慢和偏离目标的项目进行督促整改，确保绩效目标如期保质保量实现;对于不能实施的项目进行调整，不断提高财政资金运行效率。</w:t>
      </w:r>
    </w:p>
    <w:p>
      <w:pPr>
        <w:pStyle w:val=""/>
        <w:ind w:firstLine="643"/>
        <w:contextualSpacing/>
        <w:spacing w:line="560" w:lineRule="exact"/>
      </w:pPr>
      <w:r>
        <w:rPr>
          <w:b/>
          <w:sz w:val="32"/>
          <w:szCs w:val="32"/>
          <w:shd w:fill="FFFFFF"/>
        </w:rPr>
        <w:t>（四）</w:t>
      </w:r>
      <w:r>
        <w:rPr>
          <w:b/>
          <w:color w:val="000000"/>
          <w:sz w:val="32"/>
          <w:szCs w:val="32"/>
          <w:shd w:fill="FFFFFF"/>
        </w:rPr>
        <w:t>自评质量</w:t>
      </w:r>
    </w:p>
    <w:p>
      <w:pPr>
        <w:pStyle w:val=""/>
        <w:ind w:firstLine="640"/>
        <w:contextualSpacing/>
        <w:spacing w:line="580" w:lineRule="exact"/>
      </w:pPr>
      <w:r>
        <w:rPr>
          <w:color w:val="000000"/>
          <w:sz w:val="32"/>
          <w:szCs w:val="32"/>
          <w:shd w:fill="FFFFFF"/>
        </w:rPr>
        <w:t>我单位认真落实市级财政绩效自评工作要求，不断改进绩效自评工作方式方法，认真撰写自评报告，客观真实反映了部门财政资金绩效情况。</w:t>
      </w:r>
    </w:p>
    <w:p>
      <w:pPr>
        <w:pStyle w:val=""/>
        <w:ind w:firstLine="640"/>
        <w:contextualSpacing/>
        <w:spacing w:line="580" w:lineRule="exact"/>
      </w:pPr>
      <w:r>
        <w:rPr>
          <w:color w:val="000000"/>
          <w:sz w:val="32"/>
          <w:szCs w:val="32"/>
          <w:shd w:fill="FFFFFF"/>
        </w:rPr>
        <w:t>四、评价结论及建议</w:t>
      </w:r>
    </w:p>
    <w:p>
      <w:pPr>
        <w:pStyle w:val=""/>
        <w:ind w:firstLine="643"/>
        <w:contextualSpacing/>
        <w:spacing w:line="560" w:lineRule="exact"/>
      </w:pPr>
      <w:r>
        <w:rPr>
          <w:b/>
          <w:color w:val="000000"/>
          <w:sz w:val="32"/>
          <w:szCs w:val="32"/>
          <w:shd w:fill="FFFFFF"/>
        </w:rPr>
        <w:t>（一）评价结论</w:t>
      </w:r>
    </w:p>
    <w:p>
      <w:pPr>
        <w:pStyle w:val=""/>
        <w:ind w:firstLine="640"/>
        <w:contextualSpacing/>
        <w:spacing w:line="580" w:lineRule="exact"/>
        <w:rPr>
          <w:color w:val="000000"/>
          <w:sz w:val="32"/>
          <w:szCs w:val="32"/>
          <w:shd w:fill="FFFFFF"/>
        </w:rPr>
      </w:pPr>
      <w:r>
        <w:rPr>
          <w:color w:val="000000"/>
          <w:sz w:val="32"/>
          <w:szCs w:val="32"/>
          <w:shd w:fill="FFFFFF"/>
        </w:rPr>
        <w:t>通过对本单位2022年部门整体支出绩效数据分析，绩效管理情况的自我梳理评价，得出2022年部门预算资金支出编制合理、管理规范，资金使用社会效益明显。部门预算支出维护了社会稳定、提高了诉讼及监督工作，使我们的工作得到了受害人及受害家属的认同。</w:t>
      </w:r>
    </w:p>
    <w:p>
      <w:pPr>
        <w:pStyle w:val=""/>
        <w:ind w:firstLine="643"/>
        <w:contextualSpacing/>
        <w:spacing w:line="560" w:lineRule="exact"/>
      </w:pPr>
      <w:r>
        <w:rPr>
          <w:b/>
          <w:color w:val="000000"/>
          <w:sz w:val="32"/>
          <w:szCs w:val="32"/>
          <w:shd w:fill="FFFFFF"/>
        </w:rPr>
        <w:t>（二）改进建议</w:t>
      </w:r>
    </w:p>
    <w:p>
      <w:pPr>
        <w:pStyle w:val="2"/>
        <w:ind w:left="0"/>
        <w:ind w:firstLine="640"/>
        <w:spacing w:line="560" w:lineRule="exact"/>
        <w:rPr>
          <w:rFonts w:ascii="Times New Roman"/>
          <w:sz w:val="32"/>
        </w:rPr>
      </w:pPr>
      <w:r>
        <w:rPr>
          <w:color w:val="000000"/>
          <w:rFonts w:ascii="Times New Roman"/>
          <w:sz w:val="32"/>
          <w:shd w:fill="FFFFFF"/>
        </w:rPr>
        <w:t>严格执行项目绩效事前、事中、事后管理，及时开展自评总结分析。针对绩效管理中发现的各类问题，抓好整改落实。对项目执行中存在的资金使用偏离政策目标、执行进度滞后、管理制度执行不力等问题，要严格加强项目监管、加快项目执行进度，确保项目严格按照计划实施。对财政资金使用绩效欠佳等问题，要深入分析原因，研究改进措施，提高资金使用绩效。（</w:t>
      </w:r>
      <w:r>
        <w:rPr>
          <w:rFonts w:ascii="Times New Roman"/>
          <w:sz w:val="32"/>
        </w:rPr>
        <w:t>部门预算项目支出绩效自评表见附件1）</w:t>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jc w:val="center"/>
        <w:spacing w:line="0" w:lineRule="atLeast"/>
        <w:rPr>
          <w:b/>
          <w:color w:val="000000"/>
          <w:rFonts w:ascii="Times New Roman" w:hAnsi="Times New Roman"/>
          <w:sz w:val="38"/>
          <w:szCs w:val="38"/>
        </w:rPr>
      </w:pPr>
      <w:r>
        <w:rPr>
          <w:b/>
          <w:color w:val="000000"/>
          <w:rFonts w:ascii="Times New Roman" w:hAnsi="Times New Roman"/>
          <w:sz w:val="38"/>
          <w:szCs w:val="38"/>
        </w:rPr>
        <w:t>攀枝花市人民检察院</w:t>
      </w:r>
    </w:p>
    <w:p>
      <w:pPr>
        <w:pStyle w:val=""/>
        <w:jc w:val="center"/>
        <w:spacing w:line="0" w:lineRule="atLeast"/>
      </w:pPr>
      <w:r>
        <w:rPr>
          <w:b/>
          <w:color w:val="000000"/>
          <w:rFonts w:ascii="Times New Roman" w:hAnsi="Times New Roman"/>
          <w:sz w:val="38"/>
          <w:szCs w:val="38"/>
        </w:rPr>
        <w:t>挂职干部补助专项资金预算项目绩效自评报告</w:t>
      </w:r>
    </w:p>
    <w:p>
      <w:pPr>
        <w:pStyle w:val=""/>
        <w:spacing w:line="578" w:lineRule="exact"/>
        <w:rPr>
          <w:color w:val="000000"/>
          <w:rFonts w:ascii="Times New Roman" w:hAnsi="Times New Roman"/>
          <w:sz w:val="32"/>
          <w:szCs w:val="32"/>
        </w:rPr>
      </w:pPr>
    </w:p>
    <w:p>
      <w:pPr>
        <w:pStyle w:val=""/>
        <w:numPr>
          <w:ilvl w:val="0"/>
          <w:numId w:val="4259265125"/>
        </w:numPr>
        <w:ind w:firstLine="720"/>
        <w:spacing w:line="560" w:lineRule="exact"/>
      </w:pPr>
      <w:r>
        <w:rPr>
          <w:sz w:val="32"/>
          <w:szCs w:val="32"/>
        </w:rPr>
        <w:t>项目概况</w:t>
      </w:r>
    </w:p>
    <w:p>
      <w:pPr>
        <w:pStyle w:val=""/>
        <w:ind w:firstLine="720"/>
        <w:spacing w:line="560" w:lineRule="exact"/>
      </w:pPr>
      <w:r>
        <w:rPr>
          <w:color w:val="000000"/>
          <w:sz w:val="32"/>
          <w:szCs w:val="32"/>
          <w:shd w:fill="FFFFFF"/>
        </w:rPr>
        <w:t>为全面掌握攀枝花市人民检察院挂职干部经费资金使用情况，进一步规范财政资金的使用和管理，提高预算精细化，充分发挥资金使用效益，本单位运用较科学、合理的绩效评价指标、评价标准和评价方法，对本部门2022年度市级挂职干部补助经费支出绩效进行了客观公正评价。情况如下：</w:t>
      </w:r>
    </w:p>
    <w:p>
      <w:pPr>
        <w:pStyle w:val=""/>
        <w:ind w:firstLine="720"/>
        <w:spacing w:line="560" w:lineRule="exact"/>
      </w:pPr>
      <w:r>
        <w:rPr>
          <w:b/>
          <w:sz w:val="32"/>
          <w:szCs w:val="32"/>
        </w:rPr>
        <w:t>（一）项目基本情况</w:t>
      </w:r>
    </w:p>
    <w:p>
      <w:pPr>
        <w:pStyle w:val=""/>
        <w:ind w:firstLine="720"/>
        <w:spacing w:line="560" w:lineRule="exact"/>
        <w:rPr>
          <w:sz w:val="32"/>
          <w:szCs w:val="32"/>
          <w:shd w:fill="FFFFFF"/>
        </w:rPr>
      </w:pPr>
      <w:r>
        <w:rPr>
          <w:sz w:val="32"/>
          <w:szCs w:val="32"/>
        </w:rPr>
        <w:t>根据《中共攀枝花市委组织部 中共攀枝花市直属机关工委 攀枝花市财政局关于做好驻村第一书记、队员和援藏干部人才补助申报工作的通知》（〔2022〕-60）要求，申请设立2022年度挂职干部补助专项预算2.62万元。</w:t>
      </w:r>
    </w:p>
    <w:p>
      <w:pPr>
        <w:pStyle w:val=""/>
        <w:ind w:firstLine="720"/>
        <w:spacing w:line="560" w:lineRule="exact"/>
      </w:pPr>
      <w:r>
        <w:rPr>
          <w:b/>
          <w:sz w:val="32"/>
          <w:szCs w:val="32"/>
        </w:rPr>
        <w:t>（二）项目绩效目标</w:t>
      </w:r>
    </w:p>
    <w:p>
      <w:pPr>
        <w:pStyle w:val=""/>
        <w:ind w:firstLine="640"/>
        <w:contextualSpacing/>
        <w:spacing w:line="560" w:lineRule="exact"/>
        <w:rPr>
          <w:sz w:val="32"/>
          <w:szCs w:val="32"/>
          <w:shd w:fill="FFFFFF"/>
        </w:rPr>
      </w:pPr>
      <w:r>
        <w:rPr>
          <w:sz w:val="32"/>
          <w:szCs w:val="32"/>
        </w:rPr>
        <w:t>为更好的贯彻落实市委市政府关于扶贫工作相关决议，为扶贫村提供优质的法律咨询服务，足额保障我单位驻盐边县永兴镇岩门村党委驻村队员段靖伟同志专项人员经费，助力脱贫工作取得实质性效果。</w:t>
      </w:r>
    </w:p>
    <w:p>
      <w:pPr>
        <w:pStyle w:val=""/>
        <w:ind w:firstLine="720"/>
        <w:spacing w:line="560" w:lineRule="exact"/>
      </w:pPr>
      <w:r>
        <w:rPr>
          <w:b/>
          <w:sz w:val="32"/>
          <w:szCs w:val="32"/>
        </w:rPr>
        <w:t>（三）项目自评步骤及方法</w:t>
      </w:r>
    </w:p>
    <w:p>
      <w:pPr>
        <w:pStyle w:val=""/>
        <w:ind w:firstLine="640"/>
        <w:contextualSpacing/>
        <w:spacing w:line="560" w:lineRule="exact"/>
        <w:rPr>
          <w:sz w:val="32"/>
          <w:szCs w:val="32"/>
          <w:shd w:fill="FFFFFF"/>
        </w:rPr>
      </w:pPr>
      <w:r>
        <w:rPr>
          <w:sz w:val="32"/>
          <w:szCs w:val="32"/>
          <w:shd w:fill="FFFFFF"/>
        </w:rPr>
        <w:t>针对项目计划、进度、成本、质量等方面的数据和信息，进行量化、科学、客观的评估。</w:t>
      </w:r>
    </w:p>
    <w:p>
      <w:pPr>
        <w:pStyle w:val=""/>
        <w:ind w:firstLine="720"/>
        <w:spacing w:line="560" w:lineRule="exact"/>
      </w:pPr>
      <w:r>
        <w:rPr>
          <w:sz w:val="32"/>
          <w:szCs w:val="32"/>
        </w:rPr>
        <w:t>二、项目资金申报及使用情况</w:t>
      </w:r>
    </w:p>
    <w:p>
      <w:pPr>
        <w:pStyle w:val=""/>
        <w:ind w:firstLine="720"/>
        <w:spacing w:line="560" w:lineRule="exact"/>
      </w:pPr>
      <w:r>
        <w:rPr>
          <w:b/>
          <w:sz w:val="32"/>
          <w:szCs w:val="32"/>
        </w:rPr>
        <w:t>（一）项目资金申报及批复情况</w:t>
      </w:r>
    </w:p>
    <w:p>
      <w:pPr>
        <w:pStyle w:val=""/>
        <w:ind w:firstLine="720"/>
        <w:spacing w:line="560" w:lineRule="exact"/>
        <w:rPr>
          <w:sz w:val="32"/>
          <w:szCs w:val="32"/>
          <w:shd w:fill="FFFFFF"/>
        </w:rPr>
      </w:pPr>
      <w:r>
        <w:rPr>
          <w:sz w:val="32"/>
          <w:szCs w:val="32"/>
        </w:rPr>
        <w:t>挂职干部补助项目申报内容与实施内容相符，申报目标合理可行。</w:t>
      </w:r>
    </w:p>
    <w:p>
      <w:pPr>
        <w:pStyle w:val=""/>
        <w:ind w:firstLine="720"/>
        <w:spacing w:line="560" w:lineRule="exact"/>
        <w:rPr>
          <w:sz w:val="32"/>
          <w:szCs w:val="32"/>
        </w:rPr>
      </w:pPr>
      <w:r>
        <w:rPr>
          <w:b/>
          <w:sz w:val="32"/>
          <w:szCs w:val="32"/>
        </w:rPr>
        <w:t>（二）资金计划、到位及使用情况（可用表格形式反映）</w:t>
      </w:r>
    </w:p>
    <w:p>
      <w:pPr>
        <w:pStyle w:val=""/>
        <w:ind w:firstLine="720"/>
        <w:spacing w:line="560" w:lineRule="exact"/>
        <w:rPr>
          <w:sz w:val="32"/>
          <w:szCs w:val="32"/>
        </w:rPr>
      </w:pPr>
      <w:r>
        <w:rPr>
          <w:sz w:val="32"/>
          <w:szCs w:val="32"/>
        </w:rPr>
        <w:t>1．资金计划及到位。2022年度挂职干部申请计划金额2.62万元，实际支付2.62万元，由财政全额拨款，资金到位率100%。</w:t>
      </w:r>
    </w:p>
    <w:p>
      <w:pPr>
        <w:pStyle w:val=""/>
        <w:ind w:firstLine="640"/>
        <w:contextualSpacing/>
        <w:spacing w:line="560" w:lineRule="exact"/>
        <w:rPr>
          <w:sz w:val="32"/>
          <w:szCs w:val="32"/>
          <w:shd w:fill="FFFFFF"/>
        </w:rPr>
      </w:pPr>
      <w:r>
        <w:rPr>
          <w:sz w:val="32"/>
          <w:szCs w:val="32"/>
        </w:rPr>
        <w:t>2．资金使用。挂职干部补助项目由生活补助、一次性补助费、艰苦边远地区津贴补差和乡镇工作补贴组成，其中生活补贴标准40元/天，补贴天数256天，一次性生活补助标准2000元，艰苦边远地区精贴补差标准360元/月，补贴月份13个月，乡镇工作补贴36.4元/天，补贴天数256天。均按标准拨付到位。</w:t>
      </w:r>
    </w:p>
    <w:p>
      <w:pPr>
        <w:pStyle w:val=""/>
        <w:ind w:firstLine="720"/>
        <w:spacing w:line="560" w:lineRule="exact"/>
      </w:pPr>
      <w:r>
        <w:rPr>
          <w:b/>
          <w:sz w:val="32"/>
          <w:szCs w:val="32"/>
        </w:rPr>
        <w:t>（三）项目财务管理情况</w:t>
      </w:r>
    </w:p>
    <w:p>
      <w:pPr>
        <w:pStyle w:val=""/>
        <w:ind w:firstLine="640"/>
        <w:contextualSpacing/>
        <w:spacing w:line="560" w:lineRule="exact"/>
        <w:rPr>
          <w:sz w:val="32"/>
          <w:szCs w:val="32"/>
          <w:shd w:fill="FFFFFF"/>
        </w:rPr>
      </w:pPr>
      <w:r>
        <w:rPr>
          <w:sz w:val="32"/>
          <w:szCs w:val="32"/>
        </w:rPr>
        <w:t>该项目相关财务管理制度健全，严格执行财务管理制度，账务处理及时、会计核算规范</w:t>
      </w:r>
    </w:p>
    <w:p>
      <w:pPr>
        <w:pStyle w:val=""/>
        <w:ind w:firstLine="720"/>
        <w:spacing w:line="560" w:lineRule="exact"/>
      </w:pPr>
      <w:r>
        <w:rPr>
          <w:sz w:val="32"/>
          <w:szCs w:val="32"/>
        </w:rPr>
        <w:t>三、项目实施及管理情况</w:t>
      </w:r>
    </w:p>
    <w:p>
      <w:pPr>
        <w:pStyle w:val=""/>
        <w:ind w:firstLine="720"/>
        <w:spacing w:line="560" w:lineRule="exact"/>
        <w:rPr>
          <w:sz w:val="32"/>
          <w:szCs w:val="32"/>
          <w:shd w:fill="FFFFFF"/>
        </w:rPr>
      </w:pPr>
      <w:r>
        <w:rPr>
          <w:sz w:val="32"/>
          <w:szCs w:val="32"/>
        </w:rPr>
        <w:t>按照市委市政府关于做好驻村扶贫工作的指示，项目稳定、有序实施，盐边县永兴镇岩门村党委对驻村干部进行年度考核，并对考核结果报送市院党委。</w:t>
      </w:r>
    </w:p>
    <w:p>
      <w:pPr>
        <w:pStyle w:val=""/>
        <w:ind w:firstLine="720"/>
        <w:spacing w:line="560" w:lineRule="exact"/>
      </w:pPr>
      <w:r>
        <w:rPr>
          <w:sz w:val="32"/>
          <w:szCs w:val="32"/>
        </w:rPr>
        <w:t>四、项目绩效情况</w:t>
      </w:r>
      <w:r>
        <w:rPr>
          <w:sz w:val="32"/>
          <w:szCs w:val="32"/>
        </w:rPr>
        <w:tab/>
      </w:r>
    </w:p>
    <w:p>
      <w:pPr>
        <w:pStyle w:val=""/>
        <w:ind w:firstLine="720"/>
        <w:spacing w:line="560" w:lineRule="exact"/>
        <w:rPr>
          <w:b/>
          <w:sz w:val="32"/>
          <w:szCs w:val="32"/>
        </w:rPr>
      </w:pPr>
      <w:r>
        <w:rPr>
          <w:b/>
          <w:sz w:val="32"/>
          <w:szCs w:val="32"/>
        </w:rPr>
        <w:t>（一）项目完成情况</w:t>
      </w:r>
    </w:p>
    <w:p>
      <w:pPr>
        <w:pStyle w:val=""/>
        <w:ind w:firstLine="640"/>
        <w:spacing w:line="560" w:lineRule="exact"/>
        <w:rPr>
          <w:sz w:val="32"/>
          <w:szCs w:val="32"/>
        </w:rPr>
      </w:pPr>
      <w:r>
        <w:rPr>
          <w:sz w:val="32"/>
          <w:szCs w:val="32"/>
        </w:rPr>
        <w:t>1. 数量指标：驻村人数为1人。</w:t>
      </w:r>
    </w:p>
    <w:p>
      <w:pPr>
        <w:pStyle w:val=""/>
        <w:ind w:firstLine="640"/>
        <w:spacing w:line="560" w:lineRule="exact"/>
      </w:pPr>
      <w:r>
        <w:rPr>
          <w:sz w:val="32"/>
          <w:szCs w:val="32"/>
        </w:rPr>
        <w:t>2. 时效指标：按支付时间节点按时支付。</w:t>
      </w:r>
    </w:p>
    <w:p>
      <w:pPr>
        <w:pStyle w:val=""/>
        <w:ind w:firstLine="640"/>
        <w:spacing w:line="560" w:lineRule="exact"/>
      </w:pPr>
      <w:r>
        <w:rPr>
          <w:sz w:val="32"/>
          <w:szCs w:val="32"/>
        </w:rPr>
        <w:t>3. 质</w:t>
      </w:r>
      <w:r>
        <w:rPr>
          <w:sz w:val="32"/>
          <w:szCs w:val="32"/>
        </w:rPr>
        <w:t>量指标：稳步、有序开展驻村扶贫工作，取得良好成效。</w:t>
      </w:r>
    </w:p>
    <w:p>
      <w:pPr>
        <w:pStyle w:val=""/>
        <w:ind w:firstLine="640"/>
        <w:spacing w:line="560" w:lineRule="exact"/>
      </w:pPr>
      <w:r>
        <w:rPr>
          <w:sz w:val="32"/>
          <w:szCs w:val="32"/>
        </w:rPr>
        <w:t>4. 成本指标：严格按照厉行节俭的原则，以事实为依据控制成本，取得效果较好。</w:t>
      </w:r>
    </w:p>
    <w:p>
      <w:pPr>
        <w:pStyle w:val=""/>
        <w:ind w:firstLine="643"/>
        <w:spacing w:line="560" w:lineRule="exact"/>
      </w:pPr>
      <w:r>
        <w:rPr>
          <w:b/>
          <w:sz w:val="32"/>
          <w:szCs w:val="32"/>
        </w:rPr>
        <w:t>（二）项目效益情况</w:t>
      </w:r>
    </w:p>
    <w:p>
      <w:pPr>
        <w:pStyle w:val=""/>
        <w:ind w:firstLine="640"/>
        <w:spacing w:line="560" w:lineRule="exact"/>
      </w:pPr>
      <w:r>
        <w:rPr>
          <w:sz w:val="32"/>
          <w:szCs w:val="32"/>
        </w:rPr>
        <w:t>1.</w:t>
      </w:r>
      <w:r>
        <w:rPr>
          <w:sz w:val="32"/>
          <w:szCs w:val="32"/>
        </w:rPr>
        <w:t xml:space="preserve"> </w:t>
      </w:r>
      <w:r>
        <w:rPr>
          <w:sz w:val="32"/>
          <w:szCs w:val="32"/>
        </w:rPr>
        <w:t>社会效益：项目的实施有效提升了村民的法律意识，为村务开展提供了有效法律帮助，取得了良好的社会效益。</w:t>
      </w:r>
    </w:p>
    <w:p>
      <w:pPr>
        <w:pStyle w:val=""/>
        <w:ind w:firstLine="640"/>
        <w:spacing w:line="560" w:lineRule="exact"/>
        <w:rPr>
          <w:sz w:val="32"/>
          <w:szCs w:val="32"/>
        </w:rPr>
      </w:pPr>
      <w:r>
        <w:rPr>
          <w:sz w:val="32"/>
          <w:szCs w:val="32"/>
        </w:rPr>
        <w:t>2.</w:t>
      </w:r>
      <w:r>
        <w:rPr>
          <w:sz w:val="32"/>
          <w:szCs w:val="32"/>
        </w:rPr>
        <w:t xml:space="preserve"> </w:t>
      </w:r>
      <w:r>
        <w:rPr>
          <w:sz w:val="32"/>
          <w:szCs w:val="32"/>
        </w:rPr>
        <w:t>服务对象满意度：通过对岩门村村民村干部群体抽样调查服务对象满意度为96.4%。</w:t>
      </w:r>
    </w:p>
    <w:p>
      <w:pPr>
        <w:pStyle w:val=""/>
        <w:ind w:firstLine="640"/>
        <w:spacing w:line="560" w:lineRule="exact"/>
        <w:rPr>
          <w:sz w:val="32"/>
          <w:szCs w:val="32"/>
        </w:rPr>
      </w:pPr>
      <w:r>
        <w:rPr>
          <w:sz w:val="32"/>
          <w:szCs w:val="32"/>
        </w:rPr>
        <w:t>五、评价结论及建议</w:t>
      </w:r>
    </w:p>
    <w:p>
      <w:pPr>
        <w:pStyle w:val=""/>
        <w:ind w:firstLine="643"/>
        <w:spacing w:line="560" w:lineRule="exact"/>
        <w:rPr>
          <w:b/>
          <w:sz w:val="32"/>
          <w:szCs w:val="32"/>
        </w:rPr>
      </w:pPr>
      <w:r>
        <w:rPr>
          <w:b/>
          <w:sz w:val="32"/>
          <w:szCs w:val="32"/>
        </w:rPr>
        <w:t>（一）评价结论</w:t>
      </w:r>
    </w:p>
    <w:p>
      <w:pPr>
        <w:pStyle w:val=""/>
        <w:ind w:firstLine="640"/>
        <w:spacing w:line="560" w:lineRule="exact"/>
        <w:rPr>
          <w:b/>
          <w:sz w:val="32"/>
          <w:szCs w:val="32"/>
        </w:rPr>
      </w:pPr>
      <w:r>
        <w:rPr>
          <w:sz w:val="32"/>
          <w:szCs w:val="32"/>
        </w:rPr>
        <w:t>项目立项依据充分、决策程序严密，制度完备；项目资金使用合法规范，项目资金无结余；目标完成情况好，项目执行有效。</w:t>
      </w:r>
    </w:p>
    <w:p>
      <w:pPr>
        <w:pStyle w:val=""/>
        <w:ind w:firstLine="643"/>
        <w:spacing w:line="560" w:lineRule="exact"/>
        <w:rPr>
          <w:b/>
          <w:sz w:val="32"/>
          <w:szCs w:val="32"/>
        </w:rPr>
      </w:pPr>
      <w:r>
        <w:rPr>
          <w:b/>
          <w:sz w:val="32"/>
          <w:szCs w:val="32"/>
        </w:rPr>
        <w:t>（二）存在的问题</w:t>
      </w:r>
    </w:p>
    <w:p>
      <w:pPr>
        <w:pStyle w:val=""/>
        <w:ind w:firstLine="640"/>
        <w:spacing w:line="560" w:lineRule="exact"/>
      </w:pPr>
      <w:r>
        <w:rPr>
          <w:sz w:val="32"/>
          <w:szCs w:val="32"/>
        </w:rPr>
        <w:t>未对贫困村自身贫困特征有针对性因人因户制定法律帮扶对策。</w:t>
      </w:r>
    </w:p>
    <w:p>
      <w:pPr>
        <w:pStyle w:val=""/>
        <w:ind w:firstLine="643"/>
        <w:spacing w:line="560" w:lineRule="exact"/>
      </w:pPr>
      <w:r>
        <w:rPr>
          <w:b/>
          <w:sz w:val="32"/>
          <w:szCs w:val="32"/>
        </w:rPr>
        <w:t>（三）相关建议</w:t>
      </w:r>
    </w:p>
    <w:p>
      <w:pPr>
        <w:pStyle w:val=""/>
        <w:ind w:firstLine="640"/>
        <w:spacing w:line="560" w:lineRule="exact"/>
      </w:pPr>
      <w:r>
        <w:rPr>
          <w:sz w:val="32"/>
          <w:szCs w:val="32"/>
        </w:rPr>
        <w:t>对贫困村自身贫困特征有针对性因人因户制定法律帮扶对策，提高对岩门村的法律援助效益。</w:t>
      </w:r>
    </w:p>
    <w:p>
      <w:pPr>
        <w:pStyle w:val=""/>
        <w:spacing w:line="560" w:lineRule="exact"/>
        <w:rPr>
          <w:sz w:val="32"/>
          <w:szCs w:val="32"/>
        </w:rPr>
      </w:pPr>
    </w:p>
    <w:p>
      <w:pPr>
        <w:pStyle w:val=""/>
        <w:spacing w:before="93"/>
        <w:rPr>
          <w:rFonts w:ascii="Times New Roman"/>
        </w:rPr>
      </w:pPr>
    </w:p>
    <w:p>
      <w:pPr>
        <w:pStyle w:val=""/>
        <w:spacing w:before="93"/>
        <w:rPr>
          <w:rFonts w:ascii="Times New Roman"/>
          <w:sz w:val="30"/>
          <w:szCs w:val="24"/>
        </w:rPr>
      </w:pPr>
    </w:p>
    <w:p>
      <w:pPr>
        <w:pStyle w:val=""/>
        <w:jc w:val="center"/>
        <w:spacing w:line="0" w:lineRule="atLeast"/>
        <w:rPr>
          <w:b/>
          <w:color w:val="000000"/>
          <w:rFonts w:ascii="Times New Roman" w:hAnsi="Times New Roman"/>
          <w:sz w:val="38"/>
          <w:szCs w:val="38"/>
        </w:rPr>
      </w:pPr>
      <w:r>
        <w:rPr>
          <w:b/>
          <w:color w:val="000000"/>
          <w:rFonts w:ascii="Times New Roman" w:hAnsi="Times New Roman"/>
          <w:sz w:val="38"/>
          <w:szCs w:val="38"/>
        </w:rPr>
        <w:t>攀枝花市人民检察院</w:t>
      </w:r>
    </w:p>
    <w:p>
      <w:pPr>
        <w:pStyle w:val=""/>
        <w:jc w:val="center"/>
        <w:spacing w:line="0" w:lineRule="atLeast"/>
      </w:pPr>
      <w:r>
        <w:rPr>
          <w:b/>
          <w:color w:val="000000"/>
          <w:rFonts w:ascii="Times New Roman" w:hAnsi="Times New Roman"/>
          <w:sz w:val="38"/>
          <w:szCs w:val="38"/>
        </w:rPr>
        <w:t>关工委工作经费专项资金预算项目绩效自评报告</w:t>
      </w:r>
    </w:p>
    <w:p>
      <w:pPr>
        <w:pStyle w:val=""/>
        <w:jc w:val="center"/>
        <w:spacing w:line="578" w:lineRule="exact"/>
        <w:rPr>
          <w:color w:val="000000"/>
          <w:rFonts w:ascii="Times New Roman" w:hAnsi="Times New Roman"/>
          <w:sz w:val="32"/>
          <w:szCs w:val="32"/>
        </w:rPr>
      </w:pPr>
    </w:p>
    <w:p>
      <w:pPr>
        <w:pStyle w:val=""/>
        <w:numPr>
          <w:ilvl w:val="0"/>
          <w:numId w:val="4292803894"/>
        </w:numPr>
        <w:ind w:firstLine="720"/>
        <w:spacing w:line="578" w:lineRule="exact"/>
      </w:pPr>
      <w:r>
        <w:rPr>
          <w:sz w:val="32"/>
          <w:szCs w:val="32"/>
        </w:rPr>
        <w:t>项目概况</w:t>
      </w:r>
    </w:p>
    <w:p>
      <w:pPr>
        <w:pStyle w:val=""/>
        <w:ind w:firstLine="720"/>
        <w:spacing w:before="93" w:line="560" w:lineRule="exact"/>
      </w:pPr>
      <w:r>
        <w:rPr>
          <w:sz w:val="32"/>
          <w:szCs w:val="32"/>
        </w:rPr>
        <w:t>攀枝花市检察院关工委专项工作经费的设立旨在保障攀枝花市检察院关心下一代委员会开展工作</w:t>
      </w:r>
      <w:r>
        <w:rPr>
          <w:sz w:val="32"/>
          <w:szCs w:val="32"/>
        </w:rPr>
        <w:t>，从政治</w:t>
      </w:r>
      <w:hyperlink r:id="rId15">
        <w:r>
          <w:rPr>
            <w:sz w:val="32"/>
            <w:szCs w:val="32"/>
          </w:rPr>
          <w:t>思想</w:t>
        </w:r>
      </w:hyperlink>
      <w:r>
        <w:rPr>
          <w:sz w:val="32"/>
          <w:szCs w:val="32"/>
        </w:rPr>
        <w:t>、道德</w:t>
      </w:r>
      <w:hyperlink r:id="rId16">
        <w:r>
          <w:rPr>
            <w:sz w:val="32"/>
            <w:szCs w:val="32"/>
          </w:rPr>
          <w:t>观念</w:t>
        </w:r>
      </w:hyperlink>
      <w:r>
        <w:rPr>
          <w:sz w:val="32"/>
          <w:szCs w:val="32"/>
        </w:rPr>
        <w:t>等方面</w:t>
      </w:r>
      <w:r>
        <w:rPr>
          <w:sz w:val="32"/>
          <w:szCs w:val="32"/>
        </w:rPr>
        <w:t>有力</w:t>
      </w:r>
      <w:r>
        <w:rPr>
          <w:sz w:val="32"/>
          <w:szCs w:val="32"/>
        </w:rPr>
        <w:t>关心当代</w:t>
      </w:r>
      <w:hyperlink r:id="rId17">
        <w:r>
          <w:rPr>
            <w:sz w:val="32"/>
            <w:szCs w:val="32"/>
          </w:rPr>
          <w:t>青年</w:t>
        </w:r>
      </w:hyperlink>
      <w:r>
        <w:rPr>
          <w:sz w:val="32"/>
          <w:szCs w:val="32"/>
        </w:rPr>
        <w:t>的成长。</w:t>
      </w:r>
      <w:r>
        <w:rPr>
          <w:sz w:val="32"/>
          <w:szCs w:val="32"/>
        </w:rPr>
        <w:t>为</w:t>
      </w:r>
      <w:r>
        <w:rPr>
          <w:color w:val="000000"/>
          <w:sz w:val="32"/>
          <w:szCs w:val="32"/>
          <w:shd w:fill="FFFFFF"/>
        </w:rPr>
        <w:t>进一步规范财政资金的使用和管理，提高预算精细化，充分发挥资金使用效益，本单位运用较科学、合理的绩效评价指标、评价标准和评价方法，对本单位2022年关工委工作经费专项预算项目支出绩效进行了客观公正评价。</w:t>
      </w:r>
      <w:r>
        <w:rPr>
          <w:sz w:val="32"/>
          <w:szCs w:val="32"/>
        </w:rPr>
        <w:t>重点说明以下内容：</w:t>
      </w:r>
    </w:p>
    <w:p>
      <w:pPr>
        <w:pStyle w:val=""/>
        <w:ind w:firstLine="630"/>
        <w:spacing w:line="578" w:lineRule="exact"/>
      </w:pPr>
      <w:r>
        <w:rPr>
          <w:b/>
          <w:sz w:val="32"/>
          <w:szCs w:val="32"/>
        </w:rPr>
        <w:t>（一）项目基本情况</w:t>
      </w:r>
    </w:p>
    <w:p>
      <w:pPr>
        <w:pStyle w:val=""/>
        <w:ind w:firstLine="720"/>
        <w:spacing w:line="560" w:lineRule="exact"/>
        <w:rPr>
          <w:sz w:val="32"/>
          <w:szCs w:val="32"/>
          <w:shd w:fill="FFFFFF"/>
        </w:rPr>
      </w:pPr>
      <w:r>
        <w:rPr>
          <w:sz w:val="32"/>
          <w:szCs w:val="32"/>
        </w:rPr>
        <w:t>2022年关工委工作经费共下达预算0.91万元，</w:t>
      </w:r>
      <w:r>
        <w:rPr>
          <w:sz w:val="32"/>
          <w:szCs w:val="32"/>
        </w:rPr>
        <w:t>项目资金申报、批复</w:t>
      </w:r>
      <w:r>
        <w:rPr>
          <w:sz w:val="32"/>
          <w:szCs w:val="32"/>
        </w:rPr>
        <w:t>流程</w:t>
      </w:r>
      <w:r>
        <w:rPr>
          <w:sz w:val="32"/>
          <w:szCs w:val="32"/>
        </w:rPr>
        <w:t>符合资金管理办法等相关规定。</w:t>
      </w:r>
    </w:p>
    <w:p>
      <w:pPr>
        <w:pStyle w:val=""/>
        <w:ind w:firstLine="720"/>
        <w:spacing w:line="578" w:lineRule="exact"/>
      </w:pPr>
      <w:r>
        <w:rPr>
          <w:b/>
          <w:sz w:val="32"/>
          <w:szCs w:val="32"/>
        </w:rPr>
        <w:t>（二）项目绩效目标</w:t>
      </w:r>
    </w:p>
    <w:p>
      <w:pPr>
        <w:pStyle w:val=""/>
        <w:ind w:firstLine="720"/>
        <w:spacing w:line="560" w:lineRule="exact"/>
        <w:rPr>
          <w:sz w:val="32"/>
          <w:szCs w:val="32"/>
          <w:shd w:fill="FFFFFF"/>
        </w:rPr>
      </w:pPr>
      <w:r>
        <w:rPr>
          <w:sz w:val="32"/>
          <w:szCs w:val="32"/>
        </w:rPr>
        <w:t>充分发挥关工委在促进青少年健康成长中的作用和使命，</w:t>
      </w:r>
      <w:r>
        <w:rPr>
          <w:sz w:val="32"/>
          <w:szCs w:val="32"/>
        </w:rPr>
        <w:t>为促进社会和谐稳定发挥了应有作用。</w:t>
      </w:r>
    </w:p>
    <w:p>
      <w:pPr>
        <w:pStyle w:val=""/>
        <w:ind w:firstLine="720"/>
        <w:spacing w:line="578" w:lineRule="exact"/>
      </w:pPr>
      <w:r>
        <w:rPr>
          <w:b/>
          <w:sz w:val="32"/>
          <w:szCs w:val="32"/>
        </w:rPr>
        <w:t>（三）项目自评步骤及方法</w:t>
      </w:r>
    </w:p>
    <w:p>
      <w:pPr>
        <w:pStyle w:val=""/>
        <w:ind w:firstLine="640"/>
        <w:contextualSpacing/>
        <w:spacing w:line="578" w:lineRule="exact"/>
      </w:pPr>
      <w:r>
        <w:rPr>
          <w:sz w:val="32"/>
          <w:szCs w:val="32"/>
          <w:shd w:fill="FFFFFF"/>
        </w:rPr>
        <w:t>针对项目计划、进度、成本、质量等方面的数据和信息，进行量化、科学、客观的评估。</w:t>
      </w:r>
    </w:p>
    <w:p>
      <w:pPr>
        <w:pStyle w:val=""/>
        <w:ind w:firstLine="720"/>
        <w:spacing w:line="578" w:lineRule="exact"/>
      </w:pPr>
      <w:r>
        <w:rPr>
          <w:sz w:val="32"/>
          <w:szCs w:val="32"/>
        </w:rPr>
        <w:t>二、项目资金申报及使用情况</w:t>
      </w:r>
    </w:p>
    <w:p>
      <w:pPr>
        <w:pStyle w:val=""/>
        <w:ind w:firstLine="720"/>
        <w:spacing w:line="578" w:lineRule="exact"/>
      </w:pPr>
      <w:r>
        <w:rPr>
          <w:b/>
          <w:sz w:val="32"/>
          <w:szCs w:val="32"/>
        </w:rPr>
        <w:t>（一）项目资金申报及批复情况</w:t>
      </w:r>
    </w:p>
    <w:p>
      <w:pPr>
        <w:pStyle w:val=""/>
        <w:ind w:firstLine="640"/>
        <w:contextualSpacing/>
        <w:spacing w:line="578" w:lineRule="exact"/>
        <w:rPr>
          <w:sz w:val="32"/>
          <w:szCs w:val="32"/>
          <w:shd w:fill="FFFFFF"/>
        </w:rPr>
      </w:pPr>
      <w:r>
        <w:rPr>
          <w:sz w:val="32"/>
          <w:szCs w:val="32"/>
        </w:rPr>
        <w:t>关工委工作经费</w:t>
      </w:r>
      <w:r>
        <w:rPr>
          <w:sz w:val="32"/>
          <w:szCs w:val="32"/>
        </w:rPr>
        <w:t>项目申报内容与实施内容相符，申报目标合理可行。</w:t>
      </w:r>
    </w:p>
    <w:p>
      <w:pPr>
        <w:pStyle w:val=""/>
        <w:ind w:firstLine="720"/>
        <w:spacing w:line="578" w:lineRule="exact"/>
        <w:rPr>
          <w:sz w:val="32"/>
          <w:szCs w:val="32"/>
        </w:rPr>
      </w:pPr>
      <w:r>
        <w:rPr>
          <w:b/>
          <w:sz w:val="32"/>
          <w:szCs w:val="32"/>
        </w:rPr>
        <w:t>（二）资金计划、到位及使用情况</w:t>
      </w:r>
    </w:p>
    <w:p>
      <w:pPr>
        <w:pStyle w:val=""/>
        <w:ind w:firstLine="720"/>
        <w:spacing w:line="560" w:lineRule="exact"/>
        <w:rPr>
          <w:sz w:val="32"/>
          <w:szCs w:val="32"/>
        </w:rPr>
      </w:pPr>
      <w:r>
        <w:rPr>
          <w:sz w:val="32"/>
          <w:szCs w:val="32"/>
        </w:rPr>
        <w:t>1．资金计划及到位。</w:t>
      </w:r>
      <w:r>
        <w:rPr>
          <w:sz w:val="32"/>
          <w:szCs w:val="32"/>
        </w:rPr>
        <w:t>财政安排项目资金预算0.91万元，实际支付0.91万元，资金到位率100%。</w:t>
      </w:r>
    </w:p>
    <w:p>
      <w:pPr>
        <w:pStyle w:val=""/>
        <w:ind w:firstLine="720"/>
        <w:spacing w:line="560" w:lineRule="exact"/>
        <w:rPr>
          <w:sz w:val="32"/>
          <w:szCs w:val="32"/>
          <w:shd w:fill="FFFFFF"/>
        </w:rPr>
      </w:pPr>
      <w:r>
        <w:rPr>
          <w:sz w:val="32"/>
          <w:szCs w:val="32"/>
        </w:rPr>
        <w:t>2．资金使用。</w:t>
      </w:r>
      <w:r>
        <w:rPr>
          <w:sz w:val="32"/>
          <w:szCs w:val="32"/>
        </w:rPr>
        <w:t>2022年攀枝花市检察院关工委共组织开展3次公益活动，产生费用0.91万元，均按规定支付到位，资金支付与预算相符。</w:t>
      </w:r>
    </w:p>
    <w:p>
      <w:pPr>
        <w:pStyle w:val=""/>
        <w:ind w:firstLine="720"/>
        <w:spacing w:line="578" w:lineRule="exact"/>
      </w:pPr>
      <w:r>
        <w:rPr>
          <w:b/>
          <w:sz w:val="32"/>
          <w:szCs w:val="32"/>
        </w:rPr>
        <w:t>（三）项目财务管理情况</w:t>
      </w:r>
    </w:p>
    <w:p>
      <w:pPr>
        <w:pStyle w:val=""/>
        <w:ind w:firstLine="720"/>
        <w:spacing w:line="560" w:lineRule="exact"/>
        <w:rPr>
          <w:sz w:val="32"/>
          <w:szCs w:val="32"/>
          <w:shd w:fill="FFFFFF"/>
        </w:rPr>
      </w:pPr>
      <w:r>
        <w:rPr>
          <w:sz w:val="32"/>
          <w:szCs w:val="32"/>
        </w:rPr>
        <w:t>我单位财务管理制度健全，严格执行财务管理制度，账务处理及时、会计核算规范。</w:t>
      </w:r>
    </w:p>
    <w:p>
      <w:pPr>
        <w:pStyle w:val=""/>
        <w:ind w:firstLine="720"/>
        <w:spacing w:line="578" w:lineRule="exact"/>
      </w:pPr>
      <w:r>
        <w:rPr>
          <w:sz w:val="32"/>
          <w:szCs w:val="32"/>
        </w:rPr>
        <w:t>三、项目实施及管理情况</w:t>
      </w:r>
    </w:p>
    <w:p>
      <w:pPr>
        <w:pStyle w:val=""/>
        <w:ind w:firstLine="720"/>
        <w:spacing w:line="560" w:lineRule="exact"/>
        <w:rPr>
          <w:sz w:val="32"/>
          <w:szCs w:val="32"/>
          <w:shd w:fill="FFFFFF"/>
        </w:rPr>
      </w:pPr>
      <w:r>
        <w:rPr>
          <w:sz w:val="32"/>
          <w:szCs w:val="32"/>
        </w:rPr>
        <w:t>攀枝花市检察院关</w:t>
      </w:r>
      <w:r>
        <w:rPr>
          <w:sz w:val="32"/>
          <w:szCs w:val="32"/>
        </w:rPr>
        <w:t>工委坚持以习近平新时代中国特色社会主义思想为指导，全面贯彻落实党的十九大精神，积极适应新时代我国社会主要矛盾的新变化，坚持以人民为中心的发展思想，紧紧围绕党委工作和各项决策部署，</w:t>
      </w:r>
      <w:r>
        <w:rPr>
          <w:sz w:val="32"/>
          <w:szCs w:val="32"/>
        </w:rPr>
        <w:t>2022年，市院</w:t>
      </w:r>
      <w:r>
        <w:rPr>
          <w:sz w:val="32"/>
          <w:szCs w:val="32"/>
        </w:rPr>
        <w:t>关工委</w:t>
      </w:r>
      <w:r>
        <w:rPr>
          <w:sz w:val="32"/>
          <w:szCs w:val="32"/>
        </w:rPr>
        <w:t>积极制定工作方案，开展了3次志愿服务公益活动</w:t>
      </w:r>
      <w:r>
        <w:rPr>
          <w:sz w:val="32"/>
          <w:szCs w:val="32"/>
        </w:rPr>
        <w:t>，</w:t>
      </w:r>
      <w:r>
        <w:rPr>
          <w:sz w:val="32"/>
          <w:szCs w:val="32"/>
        </w:rPr>
        <w:t>分别是“市检察院暖冬行动”、“市福利院特殊儿童关爱活动”和“关心下一代捐款活动”，充分发挥关工委在促进青少年健康成长中的作用和使命，</w:t>
      </w:r>
      <w:r>
        <w:rPr>
          <w:sz w:val="32"/>
          <w:szCs w:val="32"/>
        </w:rPr>
        <w:t>为促进社会和谐稳定发挥了应有作用。</w:t>
      </w:r>
    </w:p>
    <w:p>
      <w:pPr>
        <w:pStyle w:val=""/>
        <w:ind w:firstLine="720"/>
        <w:spacing w:line="578" w:lineRule="exact"/>
      </w:pPr>
      <w:r>
        <w:rPr>
          <w:sz w:val="32"/>
          <w:szCs w:val="32"/>
        </w:rPr>
        <w:t>四、项目绩效情况</w:t>
      </w:r>
      <w:r>
        <w:rPr>
          <w:sz w:val="32"/>
          <w:szCs w:val="32"/>
        </w:rPr>
        <w:tab/>
      </w:r>
    </w:p>
    <w:p>
      <w:pPr>
        <w:pStyle w:val=""/>
        <w:ind w:firstLine="720"/>
        <w:spacing w:line="578" w:lineRule="exact"/>
      </w:pPr>
      <w:r>
        <w:rPr>
          <w:b/>
          <w:sz w:val="32"/>
          <w:szCs w:val="32"/>
        </w:rPr>
        <w:t>（一）项目完成情况</w:t>
      </w:r>
    </w:p>
    <w:p>
      <w:pPr>
        <w:pStyle w:val=""/>
        <w:ind w:firstLine="720"/>
        <w:spacing w:line="560" w:lineRule="exact"/>
      </w:pPr>
      <w:r>
        <w:rPr>
          <w:sz w:val="32"/>
          <w:szCs w:val="32"/>
        </w:rPr>
        <w:t>1. 数量指标：开展3次志愿服务公益活动。</w:t>
      </w:r>
    </w:p>
    <w:p>
      <w:pPr>
        <w:pStyle w:val=""/>
        <w:ind w:firstLine="720"/>
        <w:spacing w:line="560" w:lineRule="exact"/>
      </w:pPr>
      <w:r>
        <w:rPr>
          <w:sz w:val="32"/>
          <w:szCs w:val="32"/>
        </w:rPr>
        <w:t>2. 时</w:t>
      </w:r>
      <w:r>
        <w:rPr>
          <w:sz w:val="32"/>
          <w:szCs w:val="32"/>
        </w:rPr>
        <w:t>效指标：针对活动方案开展，对产生的费用按时报销到位。</w:t>
      </w:r>
    </w:p>
    <w:p>
      <w:pPr>
        <w:pStyle w:val=""/>
        <w:ind w:firstLine="720"/>
        <w:spacing w:line="560" w:lineRule="exact"/>
      </w:pPr>
      <w:r>
        <w:rPr>
          <w:sz w:val="32"/>
          <w:szCs w:val="32"/>
        </w:rPr>
        <w:t>3. 成本指标：严格按照厉行节俭的原则，控制成本，取得效果较好。</w:t>
      </w:r>
    </w:p>
    <w:p>
      <w:pPr>
        <w:pStyle w:val=""/>
        <w:ind w:firstLine="720"/>
        <w:spacing w:line="578" w:lineRule="exact"/>
      </w:pPr>
      <w:r>
        <w:rPr>
          <w:b/>
          <w:sz w:val="32"/>
          <w:szCs w:val="32"/>
        </w:rPr>
        <w:t>（二）项目效益情况</w:t>
      </w:r>
    </w:p>
    <w:p>
      <w:pPr>
        <w:pStyle w:val=""/>
        <w:ind w:firstLine="720"/>
        <w:spacing w:line="560" w:lineRule="exact"/>
      </w:pPr>
      <w:r>
        <w:rPr>
          <w:sz w:val="32"/>
          <w:szCs w:val="32"/>
        </w:rPr>
        <w:t>1.</w:t>
      </w:r>
      <w:r>
        <w:rPr>
          <w:sz w:val="32"/>
          <w:szCs w:val="32"/>
        </w:rPr>
        <w:t xml:space="preserve"> </w:t>
      </w:r>
      <w:r>
        <w:rPr>
          <w:sz w:val="32"/>
          <w:szCs w:val="32"/>
        </w:rPr>
        <w:t>社会效益：项目的实施有效提升服务对象青少年的思想道德素质，具有良好的社会影响力。 </w:t>
      </w:r>
    </w:p>
    <w:p>
      <w:pPr>
        <w:pStyle w:val=""/>
        <w:ind w:firstLine="720"/>
        <w:spacing w:line="560" w:lineRule="exact"/>
        <w:rPr>
          <w:sz w:val="32"/>
          <w:szCs w:val="32"/>
          <w:shd w:fill="FFFFFF"/>
        </w:rPr>
      </w:pPr>
      <w:r>
        <w:rPr>
          <w:sz w:val="32"/>
          <w:szCs w:val="32"/>
        </w:rPr>
        <w:t>2.</w:t>
      </w:r>
      <w:r>
        <w:rPr>
          <w:sz w:val="32"/>
          <w:szCs w:val="32"/>
        </w:rPr>
        <w:t xml:space="preserve"> </w:t>
      </w:r>
      <w:r>
        <w:rPr>
          <w:sz w:val="32"/>
          <w:szCs w:val="32"/>
        </w:rPr>
        <w:t>服务对象满意度：通过抽样调查服务对象满意度为92%。</w:t>
      </w:r>
    </w:p>
    <w:p>
      <w:pPr>
        <w:pStyle w:val=""/>
        <w:ind w:firstLine="720"/>
        <w:spacing w:line="578" w:lineRule="exact"/>
      </w:pPr>
      <w:r>
        <w:rPr>
          <w:sz w:val="32"/>
          <w:szCs w:val="32"/>
        </w:rPr>
        <w:t>五、评价结论及建议</w:t>
      </w:r>
    </w:p>
    <w:p>
      <w:pPr>
        <w:pStyle w:val=""/>
        <w:ind w:firstLine="720"/>
        <w:spacing w:line="578" w:lineRule="exact"/>
      </w:pPr>
      <w:r>
        <w:rPr>
          <w:b/>
          <w:sz w:val="32"/>
          <w:szCs w:val="32"/>
        </w:rPr>
        <w:t>（一）评价结论</w:t>
      </w:r>
    </w:p>
    <w:p>
      <w:pPr>
        <w:pStyle w:val=""/>
        <w:ind w:firstLine="640"/>
        <w:contextualSpacing/>
        <w:spacing w:line="578" w:lineRule="exact"/>
        <w:rPr>
          <w:sz w:val="32"/>
          <w:szCs w:val="32"/>
          <w:shd w:fill="FFFFFF"/>
        </w:rPr>
      </w:pPr>
      <w:r>
        <w:rPr>
          <w:sz w:val="32"/>
          <w:szCs w:val="32"/>
          <w:shd w:fill="FFFFFF"/>
        </w:rPr>
        <w:t>项目立项依据充分、决策程序严密，制度完备；项目资金使用合法规范，项目资金无结余；目标完成情况好，项目执行有效。</w:t>
      </w:r>
    </w:p>
    <w:p>
      <w:pPr>
        <w:pStyle w:val=""/>
        <w:ind w:firstLine="720"/>
        <w:spacing w:line="578" w:lineRule="exact"/>
      </w:pPr>
      <w:r>
        <w:rPr>
          <w:b/>
          <w:sz w:val="32"/>
          <w:szCs w:val="32"/>
        </w:rPr>
        <w:t>（二）存在的问题</w:t>
      </w:r>
    </w:p>
    <w:p>
      <w:pPr>
        <w:pStyle w:val=""/>
        <w:ind w:firstLine="640"/>
        <w:contextualSpacing/>
        <w:spacing w:line="578" w:lineRule="exact"/>
        <w:rPr>
          <w:sz w:val="32"/>
          <w:szCs w:val="32"/>
          <w:shd w:fill="FFFFFF"/>
        </w:rPr>
      </w:pPr>
      <w:r>
        <w:rPr>
          <w:sz w:val="32"/>
          <w:szCs w:val="32"/>
        </w:rPr>
        <w:t>项目实施质量有待提高，跟踪问效有待加强。重前期工作、轻后期跟踪问效、总结宣传。</w:t>
      </w:r>
    </w:p>
    <w:p>
      <w:pPr>
        <w:pStyle w:val=""/>
        <w:ind w:firstLine="720"/>
        <w:spacing w:line="578" w:lineRule="exact"/>
      </w:pPr>
      <w:r>
        <w:rPr>
          <w:b/>
          <w:sz w:val="32"/>
          <w:szCs w:val="32"/>
        </w:rPr>
        <w:t>（三）相关建议</w:t>
      </w:r>
    </w:p>
    <w:p>
      <w:pPr>
        <w:pStyle w:val=""/>
        <w:ind w:firstLine="640"/>
        <w:contextualSpacing/>
        <w:spacing w:before="93" w:line="578" w:lineRule="exact"/>
      </w:pPr>
      <w:r>
        <w:rPr>
          <w:sz w:val="32"/>
          <w:szCs w:val="32"/>
        </w:rPr>
        <w:t>建议下一步将绩效管理工作作为一项日常性重要工作来抓；完善绩效评价指标体系，科学设定评价指标；重视档案建立、完善、管理工作。</w:t>
      </w: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spacing w:before="93"/>
        <w:rPr>
          <w:rFonts w:ascii="Times New Roman"/>
        </w:rPr>
      </w:pPr>
    </w:p>
    <w:p>
      <w:pPr>
        <w:pStyle w:val=""/>
        <w:jc w:val="center"/>
        <w:spacing w:line="0" w:lineRule="atLeast"/>
        <w:rPr>
          <w:b/>
          <w:color w:val="000000"/>
          <w:rFonts w:ascii="Times New Roman" w:hAnsi="Times New Roman"/>
          <w:sz w:val="38"/>
          <w:szCs w:val="38"/>
        </w:rPr>
      </w:pPr>
      <w:r>
        <w:rPr>
          <w:b/>
          <w:color w:val="000000"/>
          <w:rFonts w:ascii="Times New Roman" w:hAnsi="Times New Roman"/>
          <w:sz w:val="38"/>
          <w:szCs w:val="38"/>
        </w:rPr>
        <w:t>攀枝花市人民检察院</w:t>
      </w:r>
    </w:p>
    <w:p>
      <w:pPr>
        <w:pStyle w:val=""/>
        <w:jc w:val="center"/>
        <w:spacing w:line="0" w:lineRule="atLeast"/>
      </w:pPr>
      <w:r>
        <w:rPr>
          <w:b/>
          <w:color w:val="000000"/>
          <w:rFonts w:ascii="Times New Roman" w:hAnsi="Times New Roman"/>
          <w:sz w:val="38"/>
          <w:szCs w:val="38"/>
        </w:rPr>
        <w:t>司法救助专项资金预算项目绩效自评报告</w:t>
      </w:r>
    </w:p>
    <w:p>
      <w:pPr>
        <w:pStyle w:val=""/>
        <w:jc w:val="center"/>
        <w:ind w:firstLine="640"/>
        <w:spacing w:line="578" w:lineRule="exact"/>
        <w:rPr>
          <w:color w:val="000000"/>
          <w:rFonts w:ascii="Times New Roman" w:hAnsi="Times New Roman"/>
          <w:sz w:val="32"/>
          <w:szCs w:val="32"/>
        </w:rPr>
      </w:pPr>
    </w:p>
    <w:p>
      <w:pPr>
        <w:pStyle w:val=""/>
        <w:ind w:firstLine="720"/>
        <w:spacing w:line="578" w:lineRule="exact"/>
      </w:pPr>
      <w:r>
        <w:rPr>
          <w:sz w:val="32"/>
          <w:szCs w:val="32"/>
        </w:rPr>
        <w:t>一、</w:t>
      </w:r>
      <w:r>
        <w:rPr>
          <w:sz w:val="32"/>
          <w:szCs w:val="32"/>
        </w:rPr>
        <w:t>项目概况</w:t>
      </w:r>
    </w:p>
    <w:p>
      <w:pPr>
        <w:pStyle w:val=""/>
        <w:ind w:firstLine="720"/>
        <w:spacing w:line="560" w:lineRule="exact"/>
      </w:pPr>
      <w:r>
        <w:rPr>
          <w:color w:val="000000"/>
          <w:sz w:val="32"/>
          <w:szCs w:val="32"/>
          <w:shd w:fill="FFFFFF"/>
        </w:rPr>
        <w:t>国家司法救助是指对遭受犯罪侵害或民事侵权，但无法通过诉讼获得有效赔偿的当事人或其符合条件的近亲属，由国家给予适当经济资助，帮助他们摆脱生活困境的一种救助措施。</w:t>
      </w:r>
      <w:r>
        <w:rPr>
          <w:color w:val="000000"/>
          <w:sz w:val="32"/>
          <w:szCs w:val="32"/>
          <w:shd w:fill="FFFFFF"/>
        </w:rPr>
        <w:t>为全面掌握攀枝花市人民检察院司法救助资金使用情况，进一步规范财政资金的使用和管理，提高预算精细化，充分发挥资金使用效益，本单位积极组织力量，运用较科学、合理的绩效评价指标、评价标准和评价方法，对本部门2022年度司法救助专项预算项目支出绩效进行了客观公正评价。情况如下：</w:t>
      </w:r>
    </w:p>
    <w:p>
      <w:pPr>
        <w:pStyle w:val=""/>
        <w:ind w:firstLine="720"/>
        <w:spacing w:line="578" w:lineRule="exact"/>
      </w:pPr>
      <w:r>
        <w:rPr>
          <w:b/>
          <w:sz w:val="32"/>
          <w:szCs w:val="32"/>
        </w:rPr>
        <w:t>（一）项目基本情况</w:t>
      </w:r>
    </w:p>
    <w:p>
      <w:pPr>
        <w:pStyle w:val=""/>
        <w:ind w:firstLine="720"/>
        <w:spacing w:line="560" w:lineRule="exact"/>
        <w:rPr>
          <w:sz w:val="32"/>
          <w:szCs w:val="32"/>
          <w:shd w:fill="FFFFFF"/>
        </w:rPr>
      </w:pPr>
      <w:r>
        <w:rPr>
          <w:sz w:val="32"/>
          <w:szCs w:val="32"/>
        </w:rPr>
        <w:t>2022年度司法救助专项预算共下达9万元，项目资金的</w:t>
      </w:r>
      <w:r>
        <w:rPr>
          <w:sz w:val="32"/>
          <w:szCs w:val="32"/>
        </w:rPr>
        <w:t>申报、批复符合资金管理办法等相关规定。</w:t>
      </w:r>
    </w:p>
    <w:p>
      <w:pPr>
        <w:pStyle w:val=""/>
        <w:ind w:firstLine="720"/>
        <w:spacing w:line="578" w:lineRule="exact"/>
      </w:pPr>
      <w:r>
        <w:rPr>
          <w:b/>
          <w:sz w:val="32"/>
          <w:szCs w:val="32"/>
        </w:rPr>
        <w:t>（二）项目绩效目标</w:t>
      </w:r>
    </w:p>
    <w:p>
      <w:pPr>
        <w:pStyle w:val=""/>
        <w:ind w:firstLine="720"/>
        <w:spacing w:line="560" w:lineRule="exact"/>
        <w:rPr>
          <w:sz w:val="32"/>
          <w:szCs w:val="32"/>
        </w:rPr>
      </w:pPr>
      <w:r>
        <w:rPr>
          <w:sz w:val="32"/>
          <w:szCs w:val="32"/>
        </w:rPr>
        <w:t>司</w:t>
      </w:r>
      <w:r>
        <w:rPr>
          <w:sz w:val="32"/>
          <w:szCs w:val="32"/>
        </w:rPr>
        <w:t>法救助项目</w:t>
      </w:r>
      <w:r>
        <w:rPr>
          <w:sz w:val="32"/>
          <w:szCs w:val="32"/>
        </w:rPr>
        <w:t>切实做好司法过程中对困难群众的救助，有效维护当事人的合法权益，保障社会公平正义，促进社会和谐稳定。</w:t>
      </w:r>
    </w:p>
    <w:p>
      <w:pPr>
        <w:pStyle w:val=""/>
        <w:ind w:firstLine="720"/>
        <w:spacing w:line="578" w:lineRule="exact"/>
      </w:pPr>
      <w:r>
        <w:rPr>
          <w:b/>
          <w:sz w:val="32"/>
          <w:szCs w:val="32"/>
        </w:rPr>
        <w:t>（三）项目自评步骤及方法</w:t>
      </w:r>
    </w:p>
    <w:p>
      <w:pPr>
        <w:pStyle w:val=""/>
        <w:ind w:firstLine="640"/>
        <w:contextualSpacing/>
        <w:spacing w:line="578" w:lineRule="exact"/>
      </w:pPr>
      <w:r>
        <w:rPr>
          <w:sz w:val="32"/>
          <w:szCs w:val="32"/>
          <w:shd w:fill="FFFFFF"/>
        </w:rPr>
        <w:t>针对项目计划、进度、成本、质量等方面的数据和信息，进行量化、科学、客观的评估。</w:t>
      </w:r>
    </w:p>
    <w:p>
      <w:pPr>
        <w:pStyle w:val=""/>
        <w:ind w:firstLine="720"/>
        <w:spacing w:line="578" w:lineRule="exact"/>
      </w:pPr>
      <w:r>
        <w:rPr>
          <w:sz w:val="32"/>
          <w:szCs w:val="32"/>
        </w:rPr>
        <w:t>二、项目资金申报及使用情况</w:t>
      </w:r>
    </w:p>
    <w:p>
      <w:pPr>
        <w:pStyle w:val=""/>
        <w:ind w:firstLine="720"/>
        <w:spacing w:line="578" w:lineRule="exact"/>
      </w:pPr>
      <w:r>
        <w:rPr>
          <w:b/>
          <w:sz w:val="32"/>
          <w:szCs w:val="32"/>
        </w:rPr>
        <w:t>（一）项目资金申报及批复情况</w:t>
      </w:r>
    </w:p>
    <w:p>
      <w:pPr>
        <w:pStyle w:val=""/>
        <w:ind w:firstLine="720"/>
        <w:spacing w:line="560" w:lineRule="exact"/>
      </w:pPr>
      <w:r>
        <w:rPr>
          <w:sz w:val="32"/>
          <w:szCs w:val="32"/>
        </w:rPr>
        <w:t>项</w:t>
      </w:r>
      <w:r>
        <w:rPr>
          <w:sz w:val="32"/>
          <w:szCs w:val="32"/>
        </w:rPr>
        <w:t>目申报内容与</w:t>
      </w:r>
      <w:r>
        <w:rPr>
          <w:sz w:val="32"/>
          <w:szCs w:val="32"/>
        </w:rPr>
        <w:t>司法救助</w:t>
      </w:r>
      <w:r>
        <w:rPr>
          <w:sz w:val="32"/>
          <w:szCs w:val="32"/>
        </w:rPr>
        <w:t>实施内容相符，申报目标合理可行。</w:t>
      </w:r>
    </w:p>
    <w:p>
      <w:pPr>
        <w:pStyle w:val=""/>
        <w:ind w:firstLine="720"/>
        <w:spacing w:line="578" w:lineRule="exact"/>
        <w:rPr>
          <w:sz w:val="32"/>
          <w:szCs w:val="32"/>
        </w:rPr>
      </w:pPr>
      <w:r>
        <w:rPr>
          <w:b/>
          <w:sz w:val="32"/>
          <w:szCs w:val="32"/>
        </w:rPr>
        <w:t>（二）资金计划、到位及使用情况</w:t>
      </w:r>
    </w:p>
    <w:p>
      <w:pPr>
        <w:pStyle w:val=""/>
        <w:ind w:firstLine="640"/>
        <w:contextualSpacing/>
        <w:spacing w:line="578" w:lineRule="exact"/>
        <w:rPr>
          <w:sz w:val="32"/>
          <w:szCs w:val="32"/>
          <w:shd w:fill="FFFFFF"/>
        </w:rPr>
      </w:pPr>
      <w:r>
        <w:rPr>
          <w:sz w:val="32"/>
          <w:szCs w:val="32"/>
          <w:shd w:fill="FFFFFF"/>
        </w:rPr>
        <w:t>1．资金计划及到位。</w:t>
      </w:r>
      <w:r>
        <w:rPr>
          <w:sz w:val="32"/>
          <w:szCs w:val="32"/>
        </w:rPr>
        <w:t>财政安排项目资金预算9万元，实际支付9万元，资金到位率100%。</w:t>
      </w:r>
    </w:p>
    <w:p>
      <w:pPr>
        <w:pStyle w:val=""/>
        <w:ind w:firstLine="720"/>
        <w:spacing w:line="560" w:lineRule="exact"/>
        <w:rPr>
          <w:sz w:val="32"/>
          <w:szCs w:val="32"/>
          <w:shd w:fill="FFFFFF"/>
        </w:rPr>
      </w:pPr>
      <w:r>
        <w:rPr>
          <w:sz w:val="32"/>
          <w:szCs w:val="32"/>
          <w:shd w:fill="FFFFFF"/>
        </w:rPr>
        <w:t>2</w:t>
      </w:r>
      <w:r>
        <w:rPr>
          <w:sz w:val="32"/>
          <w:szCs w:val="32"/>
          <w:shd w:fill="FFFFFF"/>
        </w:rPr>
        <w:t>．资金使用。</w:t>
      </w:r>
      <w:r>
        <w:rPr>
          <w:sz w:val="32"/>
          <w:szCs w:val="32"/>
        </w:rPr>
        <w:t>2022年司法救助人数共5人，项目资金均依据《攀枝花市人民检察院提请审批国家司法救助意见书》、《攀枝花市人民检察院国家司法救助决定书》和《国家司法救助发放登记表》于2022年10月拨付到位，资金支付与预算相符。</w:t>
      </w:r>
    </w:p>
    <w:p>
      <w:pPr>
        <w:pStyle w:val=""/>
        <w:ind w:firstLine="720"/>
        <w:spacing w:line="578" w:lineRule="exact"/>
      </w:pPr>
      <w:r>
        <w:rPr>
          <w:b/>
          <w:sz w:val="32"/>
          <w:szCs w:val="32"/>
        </w:rPr>
        <w:t>（三）项目财务管理情况</w:t>
      </w:r>
    </w:p>
    <w:p>
      <w:pPr>
        <w:pStyle w:val=""/>
        <w:ind w:firstLine="720"/>
        <w:spacing w:line="560" w:lineRule="exact"/>
        <w:rPr>
          <w:sz w:val="32"/>
          <w:szCs w:val="32"/>
          <w:shd w:fill="FFFFFF"/>
        </w:rPr>
      </w:pPr>
      <w:r>
        <w:rPr>
          <w:sz w:val="32"/>
          <w:szCs w:val="32"/>
        </w:rPr>
        <w:t>通过自评，我单位财务管理制度健全，严格执行财务管理制度，账务处理及时、会计核算规范。</w:t>
      </w:r>
    </w:p>
    <w:p>
      <w:pPr>
        <w:pStyle w:val=""/>
        <w:ind w:firstLine="720"/>
        <w:spacing w:line="578" w:lineRule="exact"/>
      </w:pPr>
      <w:r>
        <w:rPr>
          <w:sz w:val="32"/>
          <w:szCs w:val="32"/>
        </w:rPr>
        <w:t>三、项目实施及管理情况</w:t>
      </w:r>
    </w:p>
    <w:p>
      <w:pPr>
        <w:pStyle w:val=""/>
        <w:ind w:firstLine="720"/>
        <w:spacing w:line="560" w:lineRule="exact"/>
        <w:rPr>
          <w:sz w:val="32"/>
          <w:szCs w:val="32"/>
          <w:shd w:fill="FFFFFF"/>
        </w:rPr>
      </w:pPr>
      <w:r>
        <w:rPr>
          <w:sz w:val="32"/>
          <w:szCs w:val="32"/>
        </w:rPr>
        <w:t>攀枝花市人民检察院第八检察部按照最高人民检察院《人民检察院开展国家司法救助工作细则》、《攀枝花市国家司法救助分类量化标准实施细则（试行）》等规定，遵循辅助性救助、公正救助、及时救助、属地救助四大原则对在办理案件过程中，遭受犯罪侵害或者民事侵权，无法通过诉讼获得有效赔偿，生活面临急迫困难的当事人采取的辅助性救济措施。</w:t>
      </w:r>
    </w:p>
    <w:p>
      <w:pPr>
        <w:pStyle w:val=""/>
        <w:ind w:firstLine="720"/>
        <w:spacing w:line="578" w:lineRule="exact"/>
      </w:pPr>
      <w:r>
        <w:rPr>
          <w:sz w:val="32"/>
          <w:szCs w:val="32"/>
        </w:rPr>
        <w:t>四、项目绩效情况</w:t>
      </w:r>
      <w:r>
        <w:rPr>
          <w:sz w:val="32"/>
          <w:szCs w:val="32"/>
        </w:rPr>
        <w:tab/>
      </w:r>
    </w:p>
    <w:p>
      <w:pPr>
        <w:pStyle w:val=""/>
        <w:ind w:firstLine="720"/>
        <w:spacing w:line="578" w:lineRule="exact"/>
      </w:pPr>
      <w:r>
        <w:rPr>
          <w:b/>
          <w:sz w:val="32"/>
          <w:szCs w:val="32"/>
        </w:rPr>
        <w:t>（一）项目完成情况</w:t>
      </w:r>
    </w:p>
    <w:p>
      <w:pPr>
        <w:pStyle w:val=""/>
        <w:ind w:firstLine="720"/>
        <w:spacing w:line="560" w:lineRule="exact"/>
      </w:pPr>
      <w:r>
        <w:rPr>
          <w:sz w:val="32"/>
          <w:szCs w:val="32"/>
        </w:rPr>
        <w:t>1</w:t>
      </w:r>
      <w:r>
        <w:rPr>
          <w:sz w:val="32"/>
          <w:szCs w:val="32"/>
        </w:rPr>
        <w:t xml:space="preserve">. </w:t>
      </w:r>
      <w:r>
        <w:rPr>
          <w:sz w:val="32"/>
          <w:szCs w:val="32"/>
        </w:rPr>
        <w:t>数量质量指标：受理因案致贫困难家庭案件</w:t>
      </w:r>
      <w:r>
        <w:rPr>
          <w:sz w:val="32"/>
          <w:szCs w:val="32"/>
        </w:rPr>
        <w:t>5</w:t>
      </w:r>
      <w:r>
        <w:rPr>
          <w:sz w:val="32"/>
          <w:szCs w:val="32"/>
        </w:rPr>
        <w:t>件，完成结案</w:t>
      </w:r>
      <w:r>
        <w:rPr>
          <w:sz w:val="32"/>
          <w:szCs w:val="32"/>
        </w:rPr>
        <w:t>5</w:t>
      </w:r>
      <w:r>
        <w:rPr>
          <w:sz w:val="32"/>
          <w:szCs w:val="32"/>
        </w:rPr>
        <w:t>件，涉及帮助到</w:t>
      </w:r>
      <w:r>
        <w:rPr>
          <w:sz w:val="32"/>
          <w:szCs w:val="32"/>
        </w:rPr>
        <w:t>5</w:t>
      </w:r>
      <w:r>
        <w:rPr>
          <w:sz w:val="32"/>
          <w:szCs w:val="32"/>
        </w:rPr>
        <w:t>个家庭。</w:t>
      </w:r>
    </w:p>
    <w:p>
      <w:pPr>
        <w:pStyle w:val=""/>
        <w:ind w:firstLine="720"/>
        <w:spacing w:line="560" w:lineRule="exact"/>
      </w:pPr>
      <w:r>
        <w:rPr>
          <w:sz w:val="32"/>
          <w:szCs w:val="32"/>
        </w:rPr>
        <w:t>2</w:t>
      </w:r>
      <w:r>
        <w:rPr>
          <w:sz w:val="32"/>
          <w:szCs w:val="32"/>
        </w:rPr>
        <w:t xml:space="preserve">. </w:t>
      </w:r>
      <w:r>
        <w:rPr>
          <w:sz w:val="32"/>
          <w:szCs w:val="32"/>
        </w:rPr>
        <w:t>时</w:t>
      </w:r>
      <w:r>
        <w:rPr>
          <w:sz w:val="32"/>
          <w:szCs w:val="32"/>
        </w:rPr>
        <w:t>效指标：针对受理一个案件，对案件整个情况的了解，符合条件的申请司法救助金，把救助金</w:t>
      </w:r>
      <w:r>
        <w:rPr>
          <w:sz w:val="32"/>
          <w:szCs w:val="32"/>
        </w:rPr>
        <w:t>按时</w:t>
      </w:r>
      <w:r>
        <w:rPr>
          <w:sz w:val="32"/>
          <w:szCs w:val="32"/>
        </w:rPr>
        <w:t>送到受害的困难家庭。</w:t>
      </w:r>
    </w:p>
    <w:p>
      <w:pPr>
        <w:pStyle w:val=""/>
        <w:ind w:firstLine="720"/>
        <w:spacing w:line="560" w:lineRule="exact"/>
        <w:rPr>
          <w:sz w:val="32"/>
          <w:szCs w:val="32"/>
          <w:shd w:fill="FFFFFF"/>
        </w:rPr>
      </w:pPr>
      <w:r>
        <w:rPr>
          <w:sz w:val="32"/>
          <w:szCs w:val="32"/>
        </w:rPr>
        <w:t>3</w:t>
      </w:r>
      <w:r>
        <w:rPr>
          <w:sz w:val="32"/>
          <w:szCs w:val="32"/>
        </w:rPr>
        <w:t xml:space="preserve">. </w:t>
      </w:r>
      <w:r>
        <w:rPr>
          <w:sz w:val="32"/>
          <w:szCs w:val="32"/>
        </w:rPr>
        <w:t>成本指标：对于受害人受侵害造成的生活困难程度给与一定的资金援助，</w:t>
      </w:r>
      <w:r>
        <w:rPr>
          <w:sz w:val="32"/>
          <w:szCs w:val="32"/>
        </w:rPr>
        <w:t>5户家庭共计救助9万元</w:t>
      </w:r>
      <w:r>
        <w:rPr>
          <w:sz w:val="32"/>
          <w:szCs w:val="32"/>
        </w:rPr>
        <w:t>。</w:t>
      </w:r>
    </w:p>
    <w:p>
      <w:pPr>
        <w:pStyle w:val=""/>
        <w:ind w:firstLine="720"/>
        <w:spacing w:line="578" w:lineRule="exact"/>
      </w:pPr>
      <w:r>
        <w:rPr>
          <w:b/>
          <w:sz w:val="32"/>
          <w:szCs w:val="32"/>
        </w:rPr>
        <w:t>（二）项目效益情况</w:t>
      </w:r>
    </w:p>
    <w:p>
      <w:pPr>
        <w:pStyle w:val=""/>
        <w:ind w:firstLine="640"/>
        <w:spacing w:line="560" w:lineRule="exact"/>
        <w:rPr>
          <w:sz w:val="32"/>
          <w:szCs w:val="32"/>
        </w:rPr>
      </w:pPr>
      <w:r>
        <w:rPr>
          <w:sz w:val="32"/>
          <w:szCs w:val="32"/>
        </w:rPr>
        <w:t xml:space="preserve">1. </w:t>
      </w:r>
      <w:r>
        <w:rPr>
          <w:sz w:val="32"/>
          <w:szCs w:val="32"/>
        </w:rPr>
        <w:t>社会效益指标：贯彻执行了国家司法行政工作的方针、政策和法律法规，提升了人民群众的法治观念，强化了依法维权、依法提出诉求、依法履行法律义务的法治意识，营造了浓厚法治氛围，为社会和谐稳定发展提供了有力的保障。减轻受害人的痛苦，化解矛盾、维护社会稳定。</w:t>
      </w:r>
      <w:r>
        <w:rPr>
          <w:sz w:val="32"/>
          <w:szCs w:val="32"/>
        </w:rPr>
        <w:t>通过抽样调查社会群众满意度达87.6%。</w:t>
      </w:r>
    </w:p>
    <w:p>
      <w:pPr>
        <w:pStyle w:val=""/>
        <w:ind w:firstLine="640"/>
        <w:spacing w:line="560" w:lineRule="exact"/>
        <w:rPr>
          <w:sz w:val="32"/>
          <w:szCs w:val="32"/>
          <w:shd w:fill="FFFFFF"/>
        </w:rPr>
      </w:pPr>
      <w:r>
        <w:rPr>
          <w:sz w:val="32"/>
          <w:szCs w:val="32"/>
        </w:rPr>
        <w:t>2. 服务对象满意度：救助对象满意度为100%。</w:t>
      </w:r>
    </w:p>
    <w:p>
      <w:pPr>
        <w:pStyle w:val=""/>
        <w:ind w:firstLine="720"/>
        <w:spacing w:line="578" w:lineRule="exact"/>
      </w:pPr>
      <w:r>
        <w:rPr>
          <w:sz w:val="32"/>
          <w:szCs w:val="32"/>
        </w:rPr>
        <w:t>五、评价结论及建议</w:t>
      </w:r>
    </w:p>
    <w:p>
      <w:pPr>
        <w:pStyle w:val=""/>
        <w:ind w:firstLine="720"/>
        <w:spacing w:line="578" w:lineRule="exact"/>
      </w:pPr>
      <w:r>
        <w:rPr>
          <w:b/>
          <w:sz w:val="32"/>
          <w:szCs w:val="32"/>
        </w:rPr>
        <w:t>（一）评价结论</w:t>
      </w:r>
    </w:p>
    <w:p>
      <w:pPr>
        <w:pStyle w:val=""/>
        <w:ind w:firstLine="640"/>
        <w:contextualSpacing/>
        <w:spacing w:line="578" w:lineRule="exact"/>
        <w:rPr>
          <w:sz w:val="32"/>
          <w:szCs w:val="32"/>
          <w:shd w:fill="FFFFFF"/>
        </w:rPr>
      </w:pPr>
      <w:r>
        <w:rPr>
          <w:sz w:val="32"/>
          <w:szCs w:val="32"/>
          <w:shd w:fill="FFFFFF"/>
        </w:rPr>
        <w:t>项目立项依据充分、决策程序严密，制度完备；项目资金使用合法规范，项目资金无结余；目标完成情况好，项目执行有效。</w:t>
      </w:r>
    </w:p>
    <w:p>
      <w:pPr>
        <w:pStyle w:val=""/>
        <w:ind w:firstLine="720"/>
        <w:spacing w:line="578" w:lineRule="exact"/>
      </w:pPr>
      <w:r>
        <w:rPr>
          <w:b/>
          <w:sz w:val="32"/>
          <w:szCs w:val="32"/>
        </w:rPr>
        <w:t>（二）存在的问题</w:t>
      </w:r>
    </w:p>
    <w:p>
      <w:pPr>
        <w:pStyle w:val=""/>
        <w:ind w:firstLine="640"/>
        <w:contextualSpacing/>
        <w:spacing w:line="578" w:lineRule="exact"/>
        <w:rPr>
          <w:sz w:val="32"/>
          <w:szCs w:val="32"/>
          <w:shd w:fill="FFFFFF"/>
        </w:rPr>
      </w:pPr>
      <w:r>
        <w:rPr>
          <w:sz w:val="32"/>
          <w:szCs w:val="32"/>
        </w:rPr>
        <w:t>司法救助对象资金需求紧急度不同，但资金拨付到位固定，灵活性有待加强。</w:t>
      </w:r>
    </w:p>
    <w:p>
      <w:pPr>
        <w:pStyle w:val=""/>
        <w:ind w:firstLine="720"/>
        <w:spacing w:line="578" w:lineRule="exact"/>
      </w:pPr>
      <w:r>
        <w:rPr>
          <w:b/>
          <w:sz w:val="32"/>
          <w:szCs w:val="32"/>
        </w:rPr>
        <w:t>（三）相关建议</w:t>
      </w:r>
    </w:p>
    <w:p>
      <w:pPr>
        <w:pStyle w:val=""/>
        <w:ind w:firstLine="720"/>
        <w:spacing w:line="560" w:lineRule="exact"/>
      </w:pPr>
      <w:r>
        <w:rPr>
          <w:sz w:val="32"/>
          <w:szCs w:val="32"/>
        </w:rPr>
        <w:t>根据实际情况，</w:t>
      </w:r>
      <w:r>
        <w:rPr>
          <w:sz w:val="32"/>
          <w:szCs w:val="32"/>
        </w:rPr>
        <w:t>按救助对象资金需求紧急程度拨付。</w:t>
      </w:r>
    </w:p>
    <w:p>
      <w:pPr>
        <w:pStyle w:val=""/>
        <w:jc w:val="center"/>
        <w:spacing w:line="0" w:lineRule="atLeast"/>
        <w:rPr>
          <w:b/>
          <w:color w:val="000000"/>
          <w:rFonts w:ascii="Times New Roman" w:hAnsi="Times New Roman"/>
          <w:sz w:val="38"/>
          <w:szCs w:val="38"/>
        </w:rPr>
      </w:pPr>
      <w:r>
        <w:rPr>
          <w:b/>
          <w:color w:val="000000"/>
          <w:rFonts w:ascii="Times New Roman" w:hAnsi="Times New Roman"/>
          <w:sz w:val="38"/>
          <w:szCs w:val="38"/>
        </w:rPr>
        <w:t>攀枝花市人民检察院</w:t>
      </w:r>
    </w:p>
    <w:p>
      <w:pPr>
        <w:pStyle w:val=""/>
        <w:jc w:val="center"/>
        <w:spacing w:line="0" w:lineRule="atLeast"/>
      </w:pPr>
      <w:r>
        <w:rPr>
          <w:b/>
          <w:color w:val="000000"/>
          <w:rFonts w:ascii="Times New Roman" w:hAnsi="Times New Roman"/>
          <w:sz w:val="38"/>
          <w:szCs w:val="38"/>
        </w:rPr>
        <w:t>聘用制书记员专项资金预算项目绩效自评报告</w:t>
      </w:r>
    </w:p>
    <w:p>
      <w:pPr>
        <w:pStyle w:val=""/>
        <w:jc w:val="center"/>
        <w:ind w:firstLine="640"/>
        <w:spacing w:line="578" w:lineRule="exact"/>
        <w:rPr>
          <w:color w:val="000000"/>
          <w:rFonts w:ascii="Times New Roman" w:hAnsi="Times New Roman"/>
          <w:sz w:val="32"/>
          <w:szCs w:val="32"/>
        </w:rPr>
      </w:pPr>
    </w:p>
    <w:p>
      <w:pPr>
        <w:pStyle w:val=""/>
        <w:ind w:firstLine="720"/>
        <w:spacing w:line="600" w:lineRule="exact"/>
      </w:pPr>
      <w:r>
        <w:rPr>
          <w:sz w:val="32"/>
          <w:szCs w:val="32"/>
        </w:rPr>
        <w:t>一、</w:t>
      </w:r>
      <w:r>
        <w:rPr>
          <w:sz w:val="32"/>
          <w:szCs w:val="32"/>
        </w:rPr>
        <w:t>项目概况</w:t>
      </w:r>
    </w:p>
    <w:p>
      <w:pPr>
        <w:pStyle w:val=""/>
        <w:ind w:firstLine="720"/>
        <w:spacing w:line="600" w:lineRule="exact"/>
      </w:pPr>
      <w:r>
        <w:rPr>
          <w:color w:val="000000"/>
          <w:sz w:val="32"/>
          <w:szCs w:val="32"/>
          <w:shd w:fill="FFFFFF"/>
        </w:rPr>
        <w:t>为</w:t>
      </w:r>
      <w:r>
        <w:rPr>
          <w:color w:val="000000"/>
          <w:sz w:val="32"/>
          <w:szCs w:val="32"/>
          <w:shd w:fill="FFFFFF"/>
        </w:rPr>
        <w:t>全面掌握攀枝花市人民检察院聘用制书记员保障经费资金使用情况，进一步规范财政资金的使用和管理，提高预算精细化，充分发挥资金使用效益，本单位积极组织力量按照“科学提范、公正公开、分类管理、绩效相关”的原则，运用较科学、合理的绩效评价指标、评价标准和评价方法，对本部门2022年度聘用制书记员保障经费支出绩效进行了客观公正评价。情况如下：</w:t>
      </w:r>
    </w:p>
    <w:p>
      <w:pPr>
        <w:pStyle w:val=""/>
        <w:ind w:firstLine="720"/>
        <w:spacing w:line="600" w:lineRule="exact"/>
      </w:pPr>
      <w:r>
        <w:rPr>
          <w:b/>
          <w:sz w:val="32"/>
          <w:szCs w:val="32"/>
        </w:rPr>
        <w:t>（一）项目基本情况</w:t>
      </w:r>
    </w:p>
    <w:p>
      <w:pPr>
        <w:pStyle w:val=""/>
        <w:ind w:firstLine="720"/>
        <w:spacing w:line="600" w:lineRule="exact"/>
        <w:rPr>
          <w:sz w:val="32"/>
          <w:szCs w:val="32"/>
          <w:shd w:fill="FFFFFF"/>
        </w:rPr>
      </w:pPr>
      <w:r>
        <w:rPr>
          <w:sz w:val="32"/>
          <w:szCs w:val="32"/>
        </w:rPr>
        <w:t>2022年聘用制书记员共下达预算120.61万元，</w:t>
      </w:r>
      <w:r>
        <w:rPr>
          <w:sz w:val="32"/>
          <w:szCs w:val="32"/>
        </w:rPr>
        <w:t>项目资金申报、批复</w:t>
      </w:r>
      <w:r>
        <w:rPr>
          <w:sz w:val="32"/>
          <w:szCs w:val="32"/>
        </w:rPr>
        <w:t>流程</w:t>
      </w:r>
      <w:r>
        <w:rPr>
          <w:sz w:val="32"/>
          <w:szCs w:val="32"/>
        </w:rPr>
        <w:t>符合资金管理办法等相关规定。</w:t>
      </w:r>
    </w:p>
    <w:p>
      <w:pPr>
        <w:pStyle w:val=""/>
        <w:ind w:firstLine="720"/>
        <w:spacing w:line="600" w:lineRule="exact"/>
      </w:pPr>
      <w:r>
        <w:rPr>
          <w:b/>
          <w:sz w:val="32"/>
          <w:szCs w:val="32"/>
        </w:rPr>
        <w:t>（二）项目绩效目标</w:t>
      </w:r>
    </w:p>
    <w:p>
      <w:pPr>
        <w:pStyle w:val=""/>
        <w:ind w:firstLine="720"/>
        <w:spacing w:line="600" w:lineRule="exact"/>
        <w:rPr>
          <w:sz w:val="32"/>
          <w:szCs w:val="32"/>
          <w:shd w:fill="FFFFFF"/>
        </w:rPr>
      </w:pPr>
      <w:r>
        <w:rPr>
          <w:sz w:val="32"/>
          <w:szCs w:val="32"/>
        </w:rPr>
        <w:t>该项目资金主要用于聘用制书记员经费开支，强化书记员管理、考核，激励书记员担当作为，为我单位检务工作提供强有力的保障。</w:t>
      </w:r>
    </w:p>
    <w:p>
      <w:pPr>
        <w:pStyle w:val=""/>
        <w:ind w:firstLine="720"/>
        <w:spacing w:line="600" w:lineRule="exact"/>
      </w:pPr>
      <w:r>
        <w:rPr>
          <w:b/>
          <w:sz w:val="32"/>
          <w:szCs w:val="32"/>
        </w:rPr>
        <w:t>（三）项目自评步骤及方法</w:t>
      </w:r>
    </w:p>
    <w:p>
      <w:pPr>
        <w:pStyle w:val=""/>
        <w:ind w:firstLine="640"/>
        <w:contextualSpacing/>
        <w:spacing w:line="600" w:lineRule="exact"/>
      </w:pPr>
      <w:r>
        <w:rPr>
          <w:sz w:val="32"/>
          <w:szCs w:val="32"/>
          <w:shd w:fill="FFFFFF"/>
        </w:rPr>
        <w:t>针对项目计划、进度、成本、质量等方面的数据和信息，进行量化、科学、客观的评估。</w:t>
      </w:r>
    </w:p>
    <w:p>
      <w:pPr>
        <w:pStyle w:val=""/>
        <w:ind w:firstLine="720"/>
        <w:spacing w:line="600" w:lineRule="exact"/>
      </w:pPr>
      <w:r>
        <w:rPr>
          <w:sz w:val="32"/>
          <w:szCs w:val="32"/>
        </w:rPr>
        <w:t>二、项目资金申报及使用情况</w:t>
      </w:r>
    </w:p>
    <w:p>
      <w:pPr>
        <w:pStyle w:val=""/>
        <w:ind w:firstLine="720"/>
        <w:spacing w:line="600" w:lineRule="exact"/>
      </w:pPr>
      <w:r>
        <w:rPr>
          <w:b/>
          <w:sz w:val="32"/>
          <w:szCs w:val="32"/>
        </w:rPr>
        <w:t>（一）项目资金申报及批复情况</w:t>
      </w:r>
    </w:p>
    <w:p>
      <w:pPr>
        <w:pStyle w:val=""/>
        <w:ind w:firstLine="720"/>
        <w:spacing w:line="600" w:lineRule="exact"/>
        <w:rPr>
          <w:sz w:val="32"/>
          <w:szCs w:val="32"/>
          <w:shd w:fill="FFFFFF"/>
        </w:rPr>
      </w:pPr>
      <w:r>
        <w:rPr>
          <w:sz w:val="32"/>
          <w:szCs w:val="32"/>
        </w:rPr>
        <w:t>聘</w:t>
      </w:r>
      <w:r>
        <w:rPr>
          <w:sz w:val="32"/>
          <w:szCs w:val="32"/>
        </w:rPr>
        <w:t>用制书记员项目资金全额用于保障聘用制书记员相关经费支出，申报内容与实施内容相符，申报目标具有合理性、可行性。</w:t>
      </w:r>
    </w:p>
    <w:p>
      <w:pPr>
        <w:pStyle w:val=""/>
        <w:ind w:firstLine="720"/>
        <w:spacing w:line="600" w:lineRule="exact"/>
        <w:rPr>
          <w:sz w:val="32"/>
          <w:szCs w:val="32"/>
        </w:rPr>
      </w:pPr>
      <w:r>
        <w:rPr>
          <w:b/>
          <w:sz w:val="32"/>
          <w:szCs w:val="32"/>
        </w:rPr>
        <w:t>（二）资金计划、到位及使用情况</w:t>
      </w:r>
    </w:p>
    <w:p>
      <w:pPr>
        <w:pStyle w:val=""/>
        <w:ind w:firstLine="720"/>
        <w:spacing w:line="600" w:lineRule="exact"/>
      </w:pPr>
      <w:r>
        <w:rPr>
          <w:sz w:val="32"/>
          <w:szCs w:val="32"/>
          <w:shd w:fill="FFFFFF"/>
        </w:rPr>
        <w:t>1．资金计划及到位。</w:t>
      </w:r>
      <w:r>
        <w:rPr>
          <w:sz w:val="32"/>
          <w:szCs w:val="32"/>
        </w:rPr>
        <w:t>我单位每月按时在一体化信息系统录入项目资金计划与支付，截止2022年底项目资金支付120.61万元，资金到位率100%。</w:t>
      </w:r>
    </w:p>
    <w:p>
      <w:pPr>
        <w:pStyle w:val=""/>
        <w:ind w:firstLine="720"/>
        <w:spacing w:line="600" w:lineRule="exact"/>
        <w:rPr>
          <w:sz w:val="32"/>
          <w:szCs w:val="32"/>
          <w:shd w:fill="FFFFFF"/>
        </w:rPr>
      </w:pPr>
      <w:r>
        <w:rPr>
          <w:sz w:val="32"/>
          <w:szCs w:val="32"/>
          <w:shd w:fill="FFFFFF"/>
        </w:rPr>
        <w:t>2</w:t>
      </w:r>
      <w:r>
        <w:rPr>
          <w:sz w:val="32"/>
          <w:szCs w:val="32"/>
          <w:shd w:fill="FFFFFF"/>
        </w:rPr>
        <w:t>．资金使用。</w:t>
      </w:r>
      <w:r>
        <w:rPr>
          <w:sz w:val="32"/>
          <w:szCs w:val="32"/>
        </w:rPr>
        <w:t>根据瑞云书记批示的《关于市检察院拟招聘聘用制书记员相关情况的请示》，该项目资金按照55,350元/人.年的标准用于我单位聘用制书记员工资、社保等相关人员支出，资金支付与预算相符。</w:t>
      </w:r>
    </w:p>
    <w:p>
      <w:pPr>
        <w:pStyle w:val=""/>
        <w:ind w:firstLine="720"/>
        <w:spacing w:line="600" w:lineRule="exact"/>
      </w:pPr>
      <w:r>
        <w:rPr>
          <w:b/>
          <w:sz w:val="32"/>
          <w:szCs w:val="32"/>
        </w:rPr>
        <w:t>（三）项目财务管理情况</w:t>
      </w:r>
    </w:p>
    <w:p>
      <w:pPr>
        <w:pStyle w:val=""/>
        <w:ind w:firstLine="720"/>
        <w:spacing w:line="600" w:lineRule="exact"/>
        <w:rPr>
          <w:sz w:val="32"/>
          <w:szCs w:val="32"/>
          <w:shd w:fill="FFFFFF"/>
        </w:rPr>
      </w:pPr>
      <w:r>
        <w:rPr>
          <w:sz w:val="32"/>
          <w:szCs w:val="32"/>
        </w:rPr>
        <w:t>该项目资金管理使用严格按照财务管理制度进行</w:t>
      </w:r>
      <w:r>
        <w:rPr>
          <w:sz w:val="32"/>
          <w:szCs w:val="32"/>
        </w:rPr>
        <w:t>会计核算及账务处理。</w:t>
      </w:r>
    </w:p>
    <w:p>
      <w:pPr>
        <w:pStyle w:val=""/>
        <w:ind w:firstLine="720"/>
        <w:spacing w:line="600" w:lineRule="exact"/>
      </w:pPr>
      <w:r>
        <w:rPr>
          <w:sz w:val="32"/>
          <w:szCs w:val="32"/>
        </w:rPr>
        <w:t>三、项目实施及管理情况</w:t>
      </w:r>
    </w:p>
    <w:p>
      <w:pPr>
        <w:pStyle w:val=""/>
        <w:ind w:firstLine="640"/>
        <w:spacing w:line="600" w:lineRule="exact"/>
        <w:rPr>
          <w:sz w:val="32"/>
          <w:szCs w:val="32"/>
          <w:shd w:fill="FFFFFF"/>
        </w:rPr>
      </w:pPr>
      <w:r>
        <w:rPr>
          <w:color w:val="000000"/>
          <w:sz w:val="32"/>
          <w:szCs w:val="32"/>
        </w:rPr>
        <w:t>根据《中华人民共和国劳动合同法》《四川省各级法院、检察院聘用制书记员管理办法（试行）》和市检察院相关管理制度，结合实际制定《攀枝花市人民检察院聘用制书记员管理办法（试行）》，</w:t>
      </w:r>
      <w:r>
        <w:rPr>
          <w:sz w:val="32"/>
          <w:szCs w:val="32"/>
        </w:rPr>
        <w:t>进一步明确</w:t>
      </w:r>
      <w:r>
        <w:rPr>
          <w:color w:val="000000"/>
          <w:sz w:val="32"/>
          <w:szCs w:val="32"/>
        </w:rPr>
        <w:t>聘用人员</w:t>
      </w:r>
      <w:r>
        <w:rPr>
          <w:sz w:val="32"/>
          <w:szCs w:val="32"/>
        </w:rPr>
        <w:t>的管理实施工作，规范工作程序、提高工作效能，推进</w:t>
      </w:r>
      <w:r>
        <w:rPr>
          <w:color w:val="000000"/>
          <w:sz w:val="32"/>
          <w:szCs w:val="32"/>
        </w:rPr>
        <w:t>聘用人员</w:t>
      </w:r>
      <w:r>
        <w:rPr>
          <w:sz w:val="32"/>
          <w:szCs w:val="32"/>
        </w:rPr>
        <w:t>管理工作的规范化、制度化，确保有力有序开展聘用人员的招录使用工作。</w:t>
      </w:r>
      <w:r>
        <w:rPr>
          <w:color w:val="000000"/>
          <w:sz w:val="32"/>
          <w:szCs w:val="32"/>
        </w:rPr>
        <w:t>对聘用人员的考核采取平时考核（每季度一次）与年度考核相结合的方式进行，对完成工作任务的数量、质量、效率以及德、能、勤、绩、廉等方面进行综合考核，并充分听取所在部门、政治部、检务督察部和机关党委意见。</w:t>
      </w:r>
    </w:p>
    <w:p>
      <w:pPr>
        <w:pStyle w:val=""/>
        <w:ind w:firstLine="720"/>
        <w:spacing w:line="600" w:lineRule="exact"/>
      </w:pPr>
      <w:r>
        <w:rPr>
          <w:sz w:val="32"/>
          <w:szCs w:val="32"/>
        </w:rPr>
        <w:t>四、项目绩效情况</w:t>
      </w:r>
      <w:r>
        <w:rPr>
          <w:sz w:val="32"/>
          <w:szCs w:val="32"/>
        </w:rPr>
        <w:tab/>
      </w:r>
    </w:p>
    <w:p>
      <w:pPr>
        <w:pStyle w:val=""/>
        <w:ind w:firstLine="720"/>
        <w:spacing w:line="600" w:lineRule="exact"/>
      </w:pPr>
      <w:r>
        <w:rPr>
          <w:b/>
          <w:sz w:val="32"/>
          <w:szCs w:val="32"/>
        </w:rPr>
        <w:t>（一）项目完成情况</w:t>
      </w:r>
    </w:p>
    <w:p>
      <w:pPr>
        <w:pStyle w:val=""/>
        <w:ind w:firstLine="640"/>
        <w:spacing w:line="600" w:lineRule="exact"/>
      </w:pPr>
      <w:r>
        <w:rPr>
          <w:sz w:val="32"/>
          <w:szCs w:val="32"/>
          <w:shd w:fill="FFFFFF"/>
        </w:rPr>
        <w:t xml:space="preserve">1. </w:t>
      </w:r>
      <w:r>
        <w:rPr>
          <w:sz w:val="32"/>
          <w:szCs w:val="32"/>
        </w:rPr>
        <w:t>数量指标：保障29名书记员经费支出。</w:t>
      </w:r>
    </w:p>
    <w:p>
      <w:pPr>
        <w:pStyle w:val=""/>
        <w:ind w:firstLine="640"/>
        <w:spacing w:line="600" w:lineRule="exact"/>
      </w:pPr>
      <w:r>
        <w:rPr>
          <w:sz w:val="32"/>
          <w:szCs w:val="32"/>
        </w:rPr>
        <w:t>2. 质量指标：2022年书记员考核均称职及以上。</w:t>
      </w:r>
    </w:p>
    <w:p>
      <w:pPr>
        <w:pStyle w:val=""/>
        <w:ind w:firstLine="640"/>
        <w:spacing w:line="600" w:lineRule="exact"/>
      </w:pPr>
      <w:r>
        <w:rPr>
          <w:sz w:val="32"/>
          <w:szCs w:val="32"/>
        </w:rPr>
        <w:t>3. 成本指标：严格按照厉行节俭的原则，控制成本，取得效果较好。</w:t>
      </w:r>
    </w:p>
    <w:p>
      <w:pPr>
        <w:pStyle w:val=""/>
        <w:ind w:firstLine="720"/>
        <w:spacing w:line="600" w:lineRule="exact"/>
      </w:pPr>
      <w:r>
        <w:rPr>
          <w:b/>
          <w:sz w:val="32"/>
          <w:szCs w:val="32"/>
        </w:rPr>
        <w:t>（二）项目效益情况</w:t>
      </w:r>
    </w:p>
    <w:p>
      <w:pPr>
        <w:pStyle w:val=""/>
        <w:ind w:firstLine="640"/>
        <w:contextualSpacing/>
        <w:spacing w:line="600" w:lineRule="exact"/>
      </w:pPr>
      <w:r>
        <w:rPr>
          <w:sz w:val="32"/>
          <w:szCs w:val="32"/>
          <w:shd w:fill="FFFFFF"/>
        </w:rPr>
        <w:t>1.</w:t>
      </w:r>
      <w:r>
        <w:rPr>
          <w:sz w:val="32"/>
          <w:szCs w:val="32"/>
          <w:shd w:fill="FFFFFF"/>
        </w:rPr>
        <w:t xml:space="preserve"> </w:t>
      </w:r>
      <w:r>
        <w:rPr>
          <w:sz w:val="32"/>
          <w:szCs w:val="32"/>
          <w:shd w:fill="FFFFFF"/>
        </w:rPr>
        <w:t>社会效益：保障检察官办案质量和效率，妥善化解社会矛盾纠纷，切实维护社会和谐稳定；强化刑事立案侦查审判监督，刑事执行检察监督，民事检察监督，行政执行监督，推进公益诉讼工作，切实维护社会公平正义。通过抽样调查社会满意度达90.2%。</w:t>
      </w:r>
    </w:p>
    <w:p>
      <w:pPr>
        <w:pStyle w:val=""/>
        <w:numPr>
          <w:ilvl w:val="0"/>
          <w:numId w:val="3354894771"/>
        </w:numPr>
        <w:ind w:firstLine="640"/>
        <w:contextualSpacing/>
        <w:spacing w:line="600" w:lineRule="exact"/>
      </w:pPr>
      <w:r>
        <w:rPr>
          <w:sz w:val="32"/>
          <w:szCs w:val="32"/>
          <w:shd w:fill="FFFFFF"/>
        </w:rPr>
        <w:t xml:space="preserve"> </w:t>
      </w:r>
      <w:r>
        <w:rPr>
          <w:sz w:val="32"/>
          <w:szCs w:val="32"/>
          <w:shd w:fill="FFFFFF"/>
        </w:rPr>
        <w:t>服务对象满意度：2022年书记员考核工作结束，员额检察官对书记员工作做出肯定,满意度100%。</w:t>
      </w:r>
    </w:p>
    <w:p>
      <w:pPr>
        <w:pStyle w:val=""/>
        <w:ind w:firstLine="720"/>
        <w:spacing w:line="600" w:lineRule="exact"/>
      </w:pPr>
      <w:r>
        <w:rPr>
          <w:sz w:val="32"/>
          <w:szCs w:val="32"/>
        </w:rPr>
        <w:t>五、评价结论及建议</w:t>
      </w:r>
    </w:p>
    <w:p>
      <w:pPr>
        <w:pStyle w:val=""/>
        <w:ind w:firstLine="720"/>
        <w:spacing w:line="600" w:lineRule="exact"/>
      </w:pPr>
      <w:r>
        <w:rPr>
          <w:b/>
          <w:sz w:val="32"/>
          <w:szCs w:val="32"/>
        </w:rPr>
        <w:t>（一）评价结论</w:t>
      </w:r>
    </w:p>
    <w:p>
      <w:pPr>
        <w:pStyle w:val=""/>
        <w:ind w:firstLine="640"/>
        <w:contextualSpacing/>
        <w:spacing w:line="600" w:lineRule="exact"/>
        <w:rPr>
          <w:sz w:val="32"/>
          <w:szCs w:val="32"/>
          <w:shd w:fill="FFFFFF"/>
        </w:rPr>
      </w:pPr>
      <w:r>
        <w:rPr>
          <w:sz w:val="32"/>
          <w:szCs w:val="32"/>
          <w:shd w:fill="FFFFFF"/>
        </w:rPr>
        <w:t>项目立项依据充分、决策程序严密，制度完备；项目资金使用合法规范，项目资金无结余；目标完成情况好，项目执行有效。</w:t>
      </w:r>
    </w:p>
    <w:p>
      <w:pPr>
        <w:pStyle w:val=""/>
        <w:ind w:firstLine="720"/>
        <w:spacing w:line="600" w:lineRule="exact"/>
      </w:pPr>
      <w:r>
        <w:rPr>
          <w:b/>
          <w:sz w:val="32"/>
          <w:szCs w:val="32"/>
        </w:rPr>
        <w:t>（二）存在的问题</w:t>
      </w:r>
    </w:p>
    <w:p>
      <w:pPr>
        <w:pStyle w:val=""/>
        <w:ind w:firstLine="720"/>
        <w:spacing w:line="600" w:lineRule="exact"/>
        <w:rPr>
          <w:sz w:val="32"/>
          <w:szCs w:val="32"/>
          <w:shd w:fill="FFFFFF"/>
        </w:rPr>
      </w:pPr>
      <w:r>
        <w:rPr>
          <w:sz w:val="32"/>
          <w:szCs w:val="32"/>
        </w:rPr>
        <w:t>培训机制不完善，现目前，书记员开展的培训除上岗前院政治部组织开展岗前培训和各部门日常对聘用人员进行政治思想、纪律作风和职业道德教育外，未开展过提升聘任制书记员专业技能的专项培训。究其原因，一方面是思想上不重视聘用人员的工作，另一方面书记员队伍不稳定，单位培训相关资源有限，使得主管部门不敢有长远的书记员培训计划。</w:t>
      </w:r>
    </w:p>
    <w:p>
      <w:pPr>
        <w:pStyle w:val=""/>
        <w:ind w:firstLine="720"/>
        <w:spacing w:line="600" w:lineRule="exact"/>
      </w:pPr>
      <w:r>
        <w:rPr>
          <w:b/>
          <w:sz w:val="32"/>
          <w:szCs w:val="32"/>
        </w:rPr>
        <w:t>（三）相关建议</w:t>
      </w:r>
    </w:p>
    <w:p>
      <w:pPr>
        <w:pStyle w:val=""/>
        <w:ind w:firstLine="640"/>
        <w:spacing w:line="600" w:lineRule="exact"/>
        <w:rPr>
          <w:b/>
          <w:sz w:val="32"/>
          <w:szCs w:val="32"/>
        </w:rPr>
      </w:pPr>
      <w:r>
        <w:rPr>
          <w:sz w:val="32"/>
          <w:szCs w:val="32"/>
        </w:rPr>
        <w:t>健全管理考核机制，提高“管”“用”结合度</w:t>
      </w:r>
      <w:r>
        <w:rPr>
          <w:b/>
          <w:sz w:val="32"/>
          <w:szCs w:val="32"/>
        </w:rPr>
        <w:t>，</w:t>
      </w:r>
      <w:r>
        <w:rPr>
          <w:sz w:val="32"/>
          <w:szCs w:val="32"/>
        </w:rPr>
        <w:t>各级党组要将编外人员作为队伍建设的重要内容，定期专题研究管理考核工作，结合管理实际情况不断更新管理办法，建立长效机制。各部门在组织参加相关业务培训时，可以适当考虑让书记员参加，帮助其提高专业素养。</w:t>
      </w:r>
    </w:p>
    <w:p>
      <w:pPr>
        <w:pStyle w:val=""/>
        <w:jc w:val="center"/>
        <w:spacing w:before="156" w:after="156"/>
      </w:pPr>
      <w:r>
        <w:rPr>
          <w:rStyle w:val="1Char"/>
          <w:b/>
        </w:rPr>
        <w:br w:type="page"/>
      </w:r>
      <w:r>
        <w:rPr>
          <w:sz w:val="44"/>
          <w:szCs w:val="44"/>
        </w:rPr>
        <w:t>第</w:t>
      </w:r>
      <w:r>
        <w:rPr>
          <w:rStyle w:val="1Char"/>
          <w:b/>
        </w:rPr>
        <w:t>五部分 附表</w:t>
      </w:r>
    </w:p>
    <w:p>
      <w:pPr>
        <w:pStyle w:val=""/>
        <w:jc w:val="left"/>
        <w:spacing w:line="600" w:lineRule="exact"/>
      </w:pPr>
    </w:p>
    <w:p>
      <w:pPr>
        <w:pStyle w:val=""/>
      </w:pPr>
      <w:r>
        <w:rPr>
          <w:sz w:val="32"/>
          <w:szCs w:val="32"/>
        </w:rPr>
        <w:t>一、收入支出决算总表</w:t>
      </w:r>
    </w:p>
    <w:p>
      <w:pPr>
        <w:pStyle w:val=""/>
      </w:pPr>
      <w:r>
        <w:rPr>
          <w:sz w:val="32"/>
          <w:szCs w:val="32"/>
        </w:rPr>
        <w:t>二、收入决算表</w:t>
      </w:r>
    </w:p>
    <w:p>
      <w:pPr>
        <w:pStyle w:val=""/>
      </w:pPr>
      <w:r>
        <w:rPr>
          <w:sz w:val="32"/>
          <w:szCs w:val="32"/>
        </w:rPr>
        <w:t>三、支出决算表</w:t>
      </w:r>
    </w:p>
    <w:p>
      <w:pPr>
        <w:pStyle w:val=""/>
      </w:pPr>
      <w:r>
        <w:rPr>
          <w:sz w:val="32"/>
          <w:szCs w:val="32"/>
        </w:rPr>
        <w:t>四、财政拨款收入支出决算总表</w:t>
      </w:r>
    </w:p>
    <w:p>
      <w:pPr>
        <w:pStyle w:val=""/>
      </w:pPr>
      <w:r>
        <w:rPr>
          <w:sz w:val="32"/>
          <w:szCs w:val="32"/>
        </w:rPr>
        <w:t>五、财政拨款支出决算明细表</w:t>
      </w:r>
    </w:p>
    <w:p>
      <w:pPr>
        <w:pStyle w:val=""/>
      </w:pPr>
      <w:r>
        <w:rPr>
          <w:sz w:val="32"/>
          <w:szCs w:val="32"/>
        </w:rPr>
        <w:t>六、一般公共预算财政拨款支出决算表</w:t>
      </w:r>
    </w:p>
    <w:p>
      <w:pPr>
        <w:pStyle w:val=""/>
      </w:pPr>
      <w:r>
        <w:rPr>
          <w:sz w:val="32"/>
          <w:szCs w:val="32"/>
        </w:rPr>
        <w:t>七、一般公共预算财政拨款支出决算明细表</w:t>
      </w:r>
    </w:p>
    <w:p>
      <w:pPr>
        <w:pStyle w:val=""/>
      </w:pPr>
      <w:r>
        <w:rPr>
          <w:sz w:val="32"/>
          <w:szCs w:val="32"/>
        </w:rPr>
        <w:t>八、一般公共预算财政拨款基本支出决算表</w:t>
      </w:r>
    </w:p>
    <w:p>
      <w:pPr>
        <w:pStyle w:val=""/>
      </w:pPr>
      <w:r>
        <w:rPr>
          <w:sz w:val="32"/>
          <w:szCs w:val="32"/>
        </w:rPr>
        <w:t>九、一般公共预算财政拨款项目支出决算表</w:t>
      </w:r>
    </w:p>
    <w:p>
      <w:pPr>
        <w:pStyle w:val=""/>
      </w:pPr>
      <w:r>
        <w:rPr>
          <w:sz w:val="32"/>
          <w:szCs w:val="32"/>
        </w:rPr>
        <w:t>十、政府性基金预算财政拨款收入支出决算表</w:t>
      </w:r>
    </w:p>
    <w:p>
      <w:pPr>
        <w:pStyle w:val=""/>
      </w:pPr>
      <w:r>
        <w:rPr>
          <w:sz w:val="32"/>
          <w:szCs w:val="32"/>
        </w:rPr>
        <w:t>十一、国有资本经营预算财政拨款收入支出决算表</w:t>
      </w:r>
    </w:p>
    <w:p>
      <w:pPr>
        <w:pStyle w:val=""/>
      </w:pPr>
      <w:r>
        <w:rPr>
          <w:sz w:val="32"/>
          <w:szCs w:val="32"/>
        </w:rPr>
        <w:t>十二、国有资本经营预算财政拨款支出决算表</w:t>
      </w:r>
    </w:p>
    <w:p>
      <w:pPr>
        <w:pStyle w:val=""/>
      </w:pPr>
      <w:r>
        <w:rPr>
          <w:sz w:val="32"/>
          <w:szCs w:val="32"/>
        </w:rPr>
        <w:t>十三、财政拨款“三公”经费支出决算表</w:t>
      </w:r>
    </w:p>
    <w:p>
      <w:pPr>
        <w:pStyle w:val=""/>
      </w:pPr>
      <w:r>
        <w:rPr>
          <w:sz w:val="32"/>
          <w:szCs w:val="32"/>
        </w:rPr>
        <w:t>（部门决算公开表详见附件2）</w:t>
      </w:r>
    </w:p>
    <w:p>
      <w:pPr>
        <w:pStyle w:val=""/>
      </w:pPr>
    </w:p>
    <w:sectPr>
      <w:headerReference r:id="rId18" w:type="default"/>
      <w:footerReference r:id="rId19" w:type="default"/>
      <w:pgSz w:w="11906" w:h="16838"/>
      <w:pgMar w:left="1588" w:right="1274" w:top="2098" w:bottom="1985"/>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方正小标宋简体"/>
  <w:font w:name="黑体"/>
  <w:font w:name="仿宋"/>
  <w:font w:name="楷体"/>
  <w:font w:name="方正小标宋_GBK"/>
  <w:font w:name="方正仿宋_GBK"/>
  <w:font w:name="仿宋_GB2312"/>
  <w:font w:name="宋体"/>
  <w:font w:name="Cambria"/>
  <w:font w:name="Calibri"/>
  <w:font w:name="??"/>
  <w:font w:name="等线"/>
  <w:font w:name="Courier New"/>
  <w:font w:name="微软雅黑"/>
  <w:font w:name="Cambria Math"/>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pPr>
    <w:fldSimple w:instr=" PAGE  \* MERGEFORMAT ">
      <w:r>
        <w:rPr/>
        <w:t>21</w:t>
      </w:r>
    </w:fldSimple>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64241713">
    <w:multiLevelType w:val="singleLevel"/>
    <w:lvl w:ilvl="0">
      <w:numFmt w:val="decimal"/>
      <w:lvlText w:val="%1."/>
      <w:start w:val="1"/>
      <w:lvlJc w:val="left"/>
      <w:pPr/>
      <w:rPr/>
    </w:lvl>
  </w:abstractNum>
  <w:abstractNum w:abstractNumId="2946791181">
    <w:multiLevelType w:val="singleLevel"/>
    <w:lvl w:ilvl="0">
      <w:numFmt w:val="chineseCounting"/>
      <w:lvlText w:val="（%1）"/>
      <w:start w:val="2"/>
      <w:lvlJc w:val="left"/>
      <w:pPr/>
      <w:rPr/>
    </w:lvl>
  </w:abstractNum>
  <w:abstractNum w:abstractNumId="3354894771">
    <w:multiLevelType w:val="singleLevel"/>
    <w:lvl w:ilvl="0">
      <w:numFmt w:val="decimal"/>
      <w:lvlText w:val="%1."/>
      <w:start w:val="2"/>
      <w:lvlJc w:val="left"/>
      <w:pPr/>
      <w:rPr/>
    </w:lvl>
  </w:abstractNum>
  <w:abstractNum w:abstractNumId="3479514348">
    <w:multiLevelType w:val="singleLevel"/>
    <w:lvl w:ilvl="0">
      <w:numFmt w:val="chineseCounting"/>
      <w:lvlText w:val="%1、"/>
      <w:start w:val="9"/>
      <w:lvlJc w:val="left"/>
      <w:pPr/>
      <w:rPr/>
    </w:lvl>
  </w:abstractNum>
  <w:abstractNum w:abstractNumId="3737056035">
    <w:multiLevelType w:val="singleLevel"/>
    <w:lvl w:ilvl="0">
      <w:numFmt w:val="chineseCounting"/>
      <w:lvlText w:val="（%1）"/>
      <w:start w:val="4"/>
      <w:lvlJc w:val="left"/>
      <w:pPr/>
      <w:rPr/>
    </w:lvl>
  </w:abstractNum>
  <w:abstractNum w:abstractNumId="3741114577">
    <w:multiLevelType w:val="hybridMultilevel"/>
    <w:lvl w:ilvl="0">
      <w:numFmt w:val="chineseCounting"/>
      <w:lvlText w:val="（%1）"/>
      <w:start w:val="2"/>
      <w:lvlJc w:val="left"/>
      <w:pPr>
        <w:ind w:left="0"/>
        <w:ind w:firstLine="0"/>
      </w:pPr>
      <w:rPr>
        <w:rFonts w:ascii="宋体" w:hAnsi="宋体"/>
      </w:rPr>
    </w:lvl>
    <w:lvl w:ilvl="1">
      <w:numFmt w:val="decimal"/>
      <w:lvlText w:val="%2."/>
      <w:start w:val="1"/>
      <w:lvlJc w:val="left"/>
      <w:pPr>
        <w:ind w:left="1440"/>
        <w:ind w:hanging="360"/>
      </w:pPr>
      <w:rPr/>
    </w:lvl>
    <w:lvl w:ilvl="2">
      <w:numFmt w:val="decimal"/>
      <w:lvlText w:val="%3."/>
      <w:start w:val="1"/>
      <w:lvlJc w:val="left"/>
      <w:pPr>
        <w:ind w:left="2160"/>
        <w:ind w:hanging="360"/>
      </w:pPr>
      <w:rPr/>
    </w:lvl>
    <w:lvl w:ilvl="3">
      <w:numFmt w:val="decimal"/>
      <w:lvlText w:val="%4."/>
      <w:start w:val="1"/>
      <w:lvlJc w:val="left"/>
      <w:pPr>
        <w:ind w:left="2880"/>
        <w:ind w:hanging="360"/>
      </w:pPr>
      <w:rPr/>
    </w:lvl>
    <w:lvl w:ilvl="4">
      <w:numFmt w:val="decimal"/>
      <w:lvlText w:val="%5."/>
      <w:start w:val="1"/>
      <w:lvlJc w:val="left"/>
      <w:pPr>
        <w:ind w:left="3600"/>
        <w:ind w:hanging="360"/>
      </w:pPr>
      <w:rPr/>
    </w:lvl>
    <w:lvl w:ilvl="5">
      <w:numFmt w:val="decimal"/>
      <w:lvlText w:val="%6."/>
      <w:start w:val="1"/>
      <w:lvlJc w:val="left"/>
      <w:pPr>
        <w:ind w:left="4320"/>
        <w:ind w:hanging="360"/>
      </w:pPr>
      <w:rPr/>
    </w:lvl>
    <w:lvl w:ilvl="6">
      <w:numFmt w:val="decimal"/>
      <w:lvlText w:val="%7."/>
      <w:start w:val="1"/>
      <w:lvlJc w:val="left"/>
      <w:pPr>
        <w:ind w:left="5040"/>
        <w:ind w:hanging="360"/>
      </w:pPr>
      <w:rPr/>
    </w:lvl>
    <w:lvl w:ilvl="7">
      <w:numFmt w:val="decimal"/>
      <w:lvlText w:val="%8."/>
      <w:start w:val="1"/>
      <w:lvlJc w:val="left"/>
      <w:pPr>
        <w:ind w:left="5760"/>
        <w:ind w:hanging="360"/>
      </w:pPr>
      <w:rPr/>
    </w:lvl>
    <w:lvl w:ilvl="8">
      <w:numFmt w:val="decimal"/>
      <w:lvlText w:val="%9."/>
      <w:start w:val="1"/>
      <w:lvlJc w:val="left"/>
      <w:pPr>
        <w:ind w:left="6480"/>
        <w:ind w:hanging="360"/>
      </w:pPr>
      <w:rPr/>
    </w:lvl>
  </w:abstractNum>
  <w:abstractNum w:abstractNumId="3808035965">
    <w:multiLevelType w:val="singleLevel"/>
    <w:lvl w:ilvl="0">
      <w:numFmt w:val="chineseCounting"/>
      <w:lvlText w:val="第%1部分"/>
      <w:start w:val="3"/>
      <w:lvlJc w:val="left"/>
      <w:pPr/>
      <w:rPr/>
    </w:lvl>
  </w:abstractNum>
  <w:abstractNum w:abstractNumId="4259265125">
    <w:multiLevelType w:val="singleLevel"/>
    <w:lvl w:ilvl="0">
      <w:numFmt w:val="chineseCounting"/>
      <w:lvlText w:val="%1、"/>
      <w:start w:val="1"/>
      <w:lvlJc w:val="left"/>
      <w:pPr/>
      <w:rPr/>
    </w:lvl>
  </w:abstractNum>
  <w:abstractNum w:abstractNumId="4281616727">
    <w:multiLevelType w:val="singleLevel"/>
    <w:lvl w:ilvl="0">
      <w:numFmt w:val="decimal"/>
      <w:lvlText w:val="%1."/>
      <w:start w:val="1"/>
      <w:lvlJc w:val="left"/>
      <w:pPr>
        <w:ind w:left="640"/>
        <w:ind w:firstLine="0"/>
      </w:pPr>
      <w:rPr/>
    </w:lvl>
  </w:abstractNum>
  <w:abstractNum w:abstractNumId="4292803894">
    <w:multiLevelType w:val="singleLevel"/>
    <w:lvl w:ilvl="0">
      <w:numFmt w:val="chineseCounting"/>
      <w:lvlText w:val="%1、"/>
      <w:start w:val="1"/>
      <w:lvlJc w:val="left"/>
      <w:pPr/>
      <w:rPr/>
    </w:lvl>
  </w:abstractNum>
  <w:abstractNum w:abstractNumId="4294341820">
    <w:multiLevelType w:val="singleLevel"/>
    <w:lvl w:ilvl="0">
      <w:numFmt w:val="chineseCounting"/>
      <w:lvlText w:val="%1、"/>
      <w:start w:val="1"/>
      <w:lvlJc w:val="left"/>
      <w:pPr/>
      <w:rPr/>
    </w:lvl>
  </w:abstractNum>
  <w:abstractNum w:abstractNumId="265383303">
    <w:multiLevelType w:val="hybridMultilevel"/>
    <w:lvl w:ilvl="0">
      <w:numFmt w:val="japaneseCounting"/>
      <w:lvlText w:val="%1、"/>
      <w:start w:val="1"/>
      <w:lvlJc w:val="left"/>
      <w:pPr>
        <w:ind w:left="630"/>
        <w:ind w:hanging="630"/>
      </w:pPr>
      <w:rPr/>
    </w:lvl>
    <w:lvl w:ilvl="1">
      <w:numFmt w:val="lowerLetter"/>
      <w:lvlText w:val="%2)"/>
      <w:start w:val="1"/>
      <w:lvlJc w:val="left"/>
      <w:pPr>
        <w:ind w:left="840"/>
        <w:ind w:hanging="420"/>
      </w:pPr>
      <w:rPr/>
    </w:lvl>
    <w:lvl w:ilvl="2">
      <w:numFmt w:val="lowerRoman"/>
      <w:lvlText w:val="%3."/>
      <w:start w:val="1"/>
      <w:lvlJc w:val="right"/>
      <w:pPr>
        <w:ind w:left="1260"/>
        <w:ind w:hanging="420"/>
      </w:pPr>
      <w:rPr/>
    </w:lvl>
    <w:lvl w:ilvl="3">
      <w:numFmt w:val="decimal"/>
      <w:lvlText w:val="%4."/>
      <w:start w:val="1"/>
      <w:lvlJc w:val="left"/>
      <w:pPr>
        <w:ind w:left="1680"/>
        <w:ind w:hanging="420"/>
      </w:pPr>
      <w:rPr/>
    </w:lvl>
    <w:lvl w:ilvl="4">
      <w:numFmt w:val="lowerLetter"/>
      <w:lvlText w:val="%5)"/>
      <w:start w:val="1"/>
      <w:lvlJc w:val="left"/>
      <w:pPr>
        <w:ind w:left="2100"/>
        <w:ind w:hanging="420"/>
      </w:pPr>
      <w:rPr/>
    </w:lvl>
    <w:lvl w:ilvl="5">
      <w:numFmt w:val="lowerRoman"/>
      <w:lvlText w:val="%6."/>
      <w:start w:val="1"/>
      <w:lvlJc w:val="right"/>
      <w:pPr>
        <w:ind w:left="2520"/>
        <w:ind w:hanging="420"/>
      </w:pPr>
      <w:rPr/>
    </w:lvl>
    <w:lvl w:ilvl="6">
      <w:numFmt w:val="decimal"/>
      <w:lvlText w:val="%7."/>
      <w:start w:val="1"/>
      <w:lvlJc w:val="left"/>
      <w:pPr>
        <w:ind w:left="2940"/>
        <w:ind w:hanging="420"/>
      </w:pPr>
      <w:rPr/>
    </w:lvl>
    <w:lvl w:ilvl="7">
      <w:numFmt w:val="lowerLetter"/>
      <w:lvlText w:val="%8)"/>
      <w:start w:val="1"/>
      <w:lvlJc w:val="left"/>
      <w:pPr>
        <w:ind w:left="3360"/>
        <w:ind w:hanging="420"/>
      </w:pPr>
      <w:rPr/>
    </w:lvl>
    <w:lvl w:ilvl="8">
      <w:numFmt w:val="lowerRoman"/>
      <w:lvlText w:val="%9."/>
      <w:start w:val="1"/>
      <w:lvlJc w:val="right"/>
      <w:pPr>
        <w:ind w:left="3780"/>
        <w:ind w:hanging="420"/>
      </w:pPr>
      <w:rPr/>
    </w:lvl>
  </w:abstractNum>
  <w:abstractNum w:abstractNumId="309482763">
    <w:multiLevelType w:val="hybridMultilevel"/>
    <w:lvl w:ilvl="0">
      <w:numFmt w:val="japaneseCounting"/>
      <w:lvlText w:val="%1、"/>
      <w:start w:val="1"/>
      <w:lvlJc w:val="left"/>
      <w:pPr>
        <w:ind w:left="1360"/>
        <w:ind w:hanging="720"/>
      </w:pPr>
      <w:rPr/>
    </w:lvl>
    <w:lvl w:ilvl="1">
      <w:numFmt w:val="lowerLetter"/>
      <w:lvlText w:val="%2)"/>
      <w:start w:val="1"/>
      <w:lvlJc w:val="left"/>
      <w:pPr>
        <w:ind w:left="1480"/>
        <w:ind w:hanging="420"/>
      </w:pPr>
      <w:rPr/>
    </w:lvl>
    <w:lvl w:ilvl="2">
      <w:numFmt w:val="lowerRoman"/>
      <w:lvlText w:val="%3."/>
      <w:start w:val="1"/>
      <w:lvlJc w:val="right"/>
      <w:pPr>
        <w:ind w:left="1900"/>
        <w:ind w:hanging="420"/>
      </w:pPr>
      <w:rPr/>
    </w:lvl>
    <w:lvl w:ilvl="3">
      <w:numFmt w:val="decimal"/>
      <w:lvlText w:val="%4."/>
      <w:start w:val="1"/>
      <w:lvlJc w:val="left"/>
      <w:pPr>
        <w:ind w:left="2320"/>
        <w:ind w:hanging="420"/>
      </w:pPr>
      <w:rPr/>
    </w:lvl>
    <w:lvl w:ilvl="4">
      <w:numFmt w:val="lowerLetter"/>
      <w:lvlText w:val="%5)"/>
      <w:start w:val="1"/>
      <w:lvlJc w:val="left"/>
      <w:pPr>
        <w:ind w:left="2740"/>
        <w:ind w:hanging="420"/>
      </w:pPr>
      <w:rPr/>
    </w:lvl>
    <w:lvl w:ilvl="5">
      <w:numFmt w:val="lowerRoman"/>
      <w:lvlText w:val="%6."/>
      <w:start w:val="1"/>
      <w:lvlJc w:val="right"/>
      <w:pPr>
        <w:ind w:left="3160"/>
        <w:ind w:hanging="420"/>
      </w:pPr>
      <w:rPr/>
    </w:lvl>
    <w:lvl w:ilvl="6">
      <w:numFmt w:val="decimal"/>
      <w:lvlText w:val="%7."/>
      <w:start w:val="1"/>
      <w:lvlJc w:val="left"/>
      <w:pPr>
        <w:ind w:left="3580"/>
        <w:ind w:hanging="420"/>
      </w:pPr>
      <w:rPr/>
    </w:lvl>
    <w:lvl w:ilvl="7">
      <w:numFmt w:val="lowerLetter"/>
      <w:lvlText w:val="%8)"/>
      <w:start w:val="1"/>
      <w:lvlJc w:val="left"/>
      <w:pPr>
        <w:ind w:left="4000"/>
        <w:ind w:hanging="420"/>
      </w:pPr>
      <w:rPr/>
    </w:lvl>
    <w:lvl w:ilvl="8">
      <w:numFmt w:val="lowerRoman"/>
      <w:lvlText w:val="%9."/>
      <w:start w:val="1"/>
      <w:lvlJc w:val="right"/>
      <w:pPr>
        <w:ind w:left="4420"/>
        <w:ind w:hanging="420"/>
      </w:pPr>
      <w:rPr/>
    </w:lvl>
  </w:abstractNum>
  <w:abstractNum w:abstractNumId="998772000">
    <w:multiLevelType w:val="hybridMultilevel"/>
    <w:lvl w:ilvl="0">
      <w:numFmt w:val="japaneseCounting"/>
      <w:lvlText w:val="%1、"/>
      <w:start w:val="1"/>
      <w:lvlJc w:val="left"/>
      <w:pPr>
        <w:ind w:left="1300"/>
        <w:ind w:hanging="660"/>
      </w:pPr>
      <w:rPr/>
    </w:lvl>
    <w:lvl w:ilvl="1">
      <w:numFmt w:val="lowerLetter"/>
      <w:lvlText w:val="%2)"/>
      <w:start w:val="1"/>
      <w:lvlJc w:val="left"/>
      <w:pPr>
        <w:ind w:left="1480"/>
        <w:ind w:hanging="420"/>
      </w:pPr>
      <w:rPr/>
    </w:lvl>
    <w:lvl w:ilvl="2">
      <w:numFmt w:val="lowerRoman"/>
      <w:lvlText w:val="%3."/>
      <w:start w:val="1"/>
      <w:lvlJc w:val="right"/>
      <w:pPr>
        <w:ind w:left="1900"/>
        <w:ind w:hanging="420"/>
      </w:pPr>
      <w:rPr/>
    </w:lvl>
    <w:lvl w:ilvl="3">
      <w:numFmt w:val="decimal"/>
      <w:lvlText w:val="%4."/>
      <w:start w:val="1"/>
      <w:lvlJc w:val="left"/>
      <w:pPr>
        <w:ind w:left="2320"/>
        <w:ind w:hanging="420"/>
      </w:pPr>
      <w:rPr/>
    </w:lvl>
    <w:lvl w:ilvl="4">
      <w:numFmt w:val="lowerLetter"/>
      <w:lvlText w:val="%5)"/>
      <w:start w:val="1"/>
      <w:lvlJc w:val="left"/>
      <w:pPr>
        <w:ind w:left="2740"/>
        <w:ind w:hanging="420"/>
      </w:pPr>
      <w:rPr/>
    </w:lvl>
    <w:lvl w:ilvl="5">
      <w:numFmt w:val="lowerRoman"/>
      <w:lvlText w:val="%6."/>
      <w:start w:val="1"/>
      <w:lvlJc w:val="right"/>
      <w:pPr>
        <w:ind w:left="3160"/>
        <w:ind w:hanging="420"/>
      </w:pPr>
      <w:rPr/>
    </w:lvl>
    <w:lvl w:ilvl="6">
      <w:numFmt w:val="decimal"/>
      <w:lvlText w:val="%7."/>
      <w:start w:val="1"/>
      <w:lvlJc w:val="left"/>
      <w:pPr>
        <w:ind w:left="3580"/>
        <w:ind w:hanging="420"/>
      </w:pPr>
      <w:rPr/>
    </w:lvl>
    <w:lvl w:ilvl="7">
      <w:numFmt w:val="lowerLetter"/>
      <w:lvlText w:val="%8)"/>
      <w:start w:val="1"/>
      <w:lvlJc w:val="left"/>
      <w:pPr>
        <w:ind w:left="4000"/>
        <w:ind w:hanging="420"/>
      </w:pPr>
      <w:rPr/>
    </w:lvl>
    <w:lvl w:ilvl="8">
      <w:numFmt w:val="lowerRoman"/>
      <w:lvlText w:val="%9."/>
      <w:start w:val="1"/>
      <w:lvlJc w:val="right"/>
      <w:pPr>
        <w:ind w:left="4420"/>
        <w:ind w:hanging="420"/>
      </w:pPr>
      <w:rPr/>
    </w:lvl>
  </w:abstractNum>
  <w:abstractNum w:abstractNumId="1048135973">
    <w:multiLevelType w:val="singleLevel"/>
    <w:lvl w:ilvl="0">
      <w:numFmt w:val="chineseCounting"/>
      <w:lvlText w:val="（%1）"/>
      <w:start w:val="3"/>
      <w:lvlJc w:val="left"/>
      <w:pPr/>
      <w:rPr/>
    </w:lvl>
  </w:abstractNum>
  <w:abstractNum w:abstractNumId="1980901054">
    <w:multiLevelType w:val="singleLevel"/>
    <w:lvl w:ilvl="0">
      <w:numFmt w:val="decimal"/>
      <w:lvlText w:val="%1."/>
      <w:start w:val="1"/>
      <w:lvlJc w:val="left"/>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2464241713">
    <w:abstractNumId w:val="2464241713"/>
  </w:num>
  <w:num w:numId="2946791181">
    <w:abstractNumId w:val="2946791181"/>
  </w:num>
  <w:num w:numId="3354894771">
    <w:abstractNumId w:val="3354894771"/>
  </w:num>
  <w:num w:numId="3479514348">
    <w:abstractNumId w:val="3479514348"/>
  </w:num>
  <w:num w:numId="3737056035">
    <w:abstractNumId w:val="3737056035"/>
  </w:num>
  <w:num w:numId="3741114577">
    <w:abstractNumId w:val="3741114577"/>
  </w:num>
  <w:num w:numId="3808035965">
    <w:abstractNumId w:val="3808035965"/>
  </w:num>
  <w:num w:numId="4259265125">
    <w:abstractNumId w:val="4259265125"/>
  </w:num>
  <w:num w:numId="4281616727">
    <w:abstractNumId w:val="4281616727"/>
  </w:num>
  <w:num w:numId="4292803894">
    <w:abstractNumId w:val="4292803894"/>
  </w:num>
  <w:num w:numId="4294341820">
    <w:abstractNumId w:val="4294341820"/>
  </w:num>
  <w:num w:numId="265383303">
    <w:abstractNumId w:val="265383303"/>
  </w:num>
  <w:num w:numId="309482763">
    <w:abstractNumId w:val="309482763"/>
  </w:num>
  <w:num w:numId="998772000">
    <w:abstractNumId w:val="998772000"/>
  </w:num>
  <w:num w:numId="1048135973">
    <w:abstractNumId w:val="1048135973"/>
  </w:num>
  <w:num w:numId="1980901054">
    <w:abstractNumId w:val="198090105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paragraph" w:styleId="1">
    <w:name w:val="标题 1"/>
    <w:qFormat/>
    <w:basedOn w:val="正文"/>
    <w:pPr>
      <w:spacing w:before="340" w:after="330" w:line="578" w:lineRule="auto"/>
    </w:pPr>
    <w:rPr>
      <w:b/>
      <w:sz w:val="44"/>
      <w:szCs w:val="44"/>
    </w:rPr>
  </w:style>
  <w:style w:type="paragraph" w:styleId="2">
    <w:name w:val="标题 2"/>
    <w:qFormat/>
    <w:basedOn w:val="正文"/>
    <w:pPr>
      <w:spacing w:before="260" w:after="260" w:line="416" w:lineRule="auto"/>
    </w:pPr>
    <w:rPr>
      <w:b/>
      <w:rFonts w:ascii="Cambria" w:hAnsi="Cambria"/>
      <w:sz w:val="32"/>
      <w:szCs w:val="32"/>
    </w:rPr>
  </w:style>
  <w:style w:type="paragraph" w:styleId="3">
    <w:name w:val="标题 3"/>
    <w:qFormat/>
    <w:basedOn w:val="正文"/>
    <w:pPr>
      <w:spacing w:before="260" w:after="260" w:line="416" w:lineRule="auto"/>
    </w:pPr>
    <w:rPr>
      <w:b/>
      <w:sz w:val="32"/>
      <w:szCs w:val="3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paragraph" w:styleId="">
    <w:name w:val="正文文本"/>
    <w:qFormat/>
    <w:basedOn w:val="正文"/>
    <w:pPr/>
    <w:rPr>
      <w:rFonts w:ascii="仿宋_GB2312"/>
      <w:sz w:val="24"/>
      <w:szCs w:val="20"/>
    </w:rPr>
  </w:style>
  <w:style w:type="character" w:styleId="Char">
    <w:name w:val="正文文本 Char"/>
    <w:qFormat/>
    <w:rPr>
      <w:rFonts w:ascii="仿宋_GB2312" w:hAnsi="Times New Roman"/>
      <w:sz w:val="24"/>
    </w:rPr>
  </w:style>
  <w:style w:type="character" w:styleId="1Char">
    <w:name w:val="标题 1 Char"/>
    <w:qFormat/>
    <w:basedOn w:val="默认段落字体"/>
    <w:rPr>
      <w:b/>
      <w:rFonts w:ascii="Times New Roman" w:hAnsi="Times New Roman"/>
      <w:sz w:val="44"/>
      <w:szCs w:val="44"/>
    </w:rPr>
  </w:style>
  <w:style w:type="character" w:styleId="2Char">
    <w:name w:val="标题 2 Char"/>
    <w:qFormat/>
    <w:basedOn w:val="默认段落字体"/>
    <w:rPr>
      <w:b/>
      <w:rFonts w:ascii="Cambria" w:hAnsi="Cambria"/>
      <w:sz w:val="32"/>
      <w:szCs w:val="32"/>
    </w:rPr>
  </w:style>
  <w:style w:type="character" w:styleId="3Char">
    <w:name w:val="标题 3 Char"/>
    <w:qFormat/>
    <w:basedOn w:val="默认段落字体"/>
    <w:rPr>
      <w:b/>
      <w:rFonts w:ascii="Times New Roman" w:hAnsi="Times New Roman"/>
      <w:sz w:val="32"/>
      <w:szCs w:val="32"/>
    </w:rPr>
  </w:style>
  <w:style w:type="paragraph" w:styleId="">
    <w:name w:val="正文文本缩进"/>
    <w:qFormat/>
    <w:basedOn w:val="正文"/>
    <w:pPr>
      <w:ind w:left="200"/>
      <w:spacing w:after="120"/>
    </w:pPr>
    <w:rPr>
      <w:rFonts w:ascii="仿宋_GB2312"/>
      <w:szCs w:val="32"/>
    </w:rPr>
  </w:style>
  <w:style w:type="paragraph" w:styleId="3">
    <w:name w:val="目录 3"/>
    <w:qFormat/>
    <w:basedOn w:val="正文"/>
    <w:pPr>
      <w:ind w:left="840"/>
    </w:pPr>
  </w:style>
  <w:style w:type="paragraph" w:styleId="">
    <w:name w:val="批注框文本"/>
    <w:qFormat/>
    <w:basedOn w:val="正文"/>
    <w:pPr/>
    <w:rPr>
      <w:sz w:val="18"/>
      <w:szCs w:val="18"/>
    </w:rPr>
  </w:style>
  <w:style w:type="character" w:styleId="Char">
    <w:name w:val="批注框文本 Char"/>
    <w:qFormat/>
    <w:basedOn w:val="默认段落字体"/>
    <w:rPr>
      <w:rFonts w:ascii="Times New Roman" w:hAnsi="Times New Roman"/>
      <w:sz w:val="18"/>
      <w:szCs w:val="18"/>
    </w:rPr>
  </w:style>
  <w:style w:type="paragraph" w:styleId="">
    <w:name w:val="页脚"/>
    <w:qFormat/>
    <w:basedOn w:val="正文"/>
    <w:pPr>
      <w:jc w:val="left"/>
    </w:pPr>
    <w:rPr>
      <w:sz w:val="18"/>
      <w:szCs w:val="20"/>
    </w:rPr>
  </w:style>
  <w:style w:type="character" w:styleId="Char">
    <w:name w:val="页脚 Char"/>
    <w:qFormat/>
    <w:rPr>
      <w:sz w:val="18"/>
    </w:rPr>
  </w:style>
  <w:style w:type="paragraph" w:styleId="">
    <w:name w:val="页眉"/>
    <w:qFormat/>
    <w:basedOn w:val="正文"/>
    <w:pPr>
      <w:pBdr>
        <w:bottom w:val="single" w:sz="6" w:color="000000" w:space="1"/>
      </w:pBdr>
      <w:jc w:val="center"/>
    </w:pPr>
    <w:rPr>
      <w:sz w:val="18"/>
      <w:szCs w:val="20"/>
    </w:rPr>
  </w:style>
  <w:style w:type="character" w:styleId="Char">
    <w:name w:val="页眉 Char"/>
    <w:qFormat/>
    <w:rPr>
      <w:sz w:val="18"/>
    </w:rPr>
  </w:style>
  <w:style w:type="paragraph" w:styleId="1">
    <w:name w:val="目录 1"/>
    <w:qFormat/>
    <w:basedOn w:val="正文"/>
    <w:pPr>
      <w:jc w:val="center"/>
      <w:spacing w:before="93"/>
    </w:pPr>
    <w:rPr>
      <w:rFonts w:ascii="仿宋" w:hAnsi="仿宋"/>
      <w:sz w:val="28"/>
      <w:szCs w:val="28"/>
    </w:rPr>
  </w:style>
  <w:style w:type="paragraph" w:styleId="2">
    <w:name w:val="目录 2"/>
    <w:qFormat/>
    <w:basedOn w:val="正文"/>
    <w:pPr>
      <w:ind w:left="420"/>
    </w:pPr>
  </w:style>
  <w:style w:type="paragraph" w:styleId="">
    <w:name w:val="普通(网站)"/>
    <w:qFormat/>
    <w:basedOn w:val="正文"/>
    <w:pPr>
      <w:jc w:val="left"/>
      <w:spacing w:before="0" w:after="0"/>
    </w:pPr>
    <w:rPr>
      <w:sz w:val="24"/>
    </w:rPr>
  </w:style>
  <w:style w:type="paragraph" w:styleId="2">
    <w:name w:val="正文首行缩进 2"/>
    <w:qFormat/>
    <w:basedOn w:val="正文文本缩进"/>
    <w:pPr>
      <w:ind w:firstLine="420"/>
    </w:pPr>
  </w:style>
  <w:style w:type="character" w:styleId="">
    <w:name w:val="要点"/>
    <w:qFormat/>
    <w:basedOn w:val="默认段落字体"/>
    <w:rPr>
      <w:b/>
    </w:rPr>
  </w:style>
  <w:style w:type="character" w:styleId="">
    <w:name w:val="已访问的超链接"/>
    <w:qFormat/>
    <w:basedOn w:val="默认段落字体"/>
    <w:rPr>
      <w:u w:val="single"/>
      <w:color w:val="954F72"/>
    </w:rPr>
  </w:style>
  <w:style w:type="character" w:styleId="">
    <w:name w:val="超链接"/>
    <w:qFormat/>
    <w:basedOn w:val="默认段落字体"/>
    <w:rPr>
      <w:u w:val="single"/>
      <w:color w:val="0000FF"/>
    </w:rPr>
  </w:style>
  <w:style w:type="paragraph" w:styleId="5">
    <w:name w:val="标题 5（有编号）（绿盟科技）"/>
    <w:qFormat/>
    <w:pPr>
      <w:spacing w:before="280" w:after="156" w:line="377" w:lineRule="auto"/>
    </w:pPr>
    <w:rPr>
      <w:b/>
      <w:rFonts w:ascii="Arial" w:hAnsi="Arial"/>
      <w:sz w:val="24"/>
      <w:szCs w:val="28"/>
    </w:rPr>
  </w:style>
  <w:style w:type="character" w:styleId="HeaderChar">
    <w:name w:val="Header Char"/>
    <w:qFormat/>
    <w:basedOn w:val="默认段落字体"/>
    <w:rPr>
      <w:rFonts w:ascii="Times New Roman" w:hAnsi="Times New Roman"/>
      <w:sz w:val="18"/>
      <w:szCs w:val="18"/>
    </w:rPr>
  </w:style>
  <w:style w:type="character" w:styleId="FooterChar">
    <w:name w:val="Footer Char"/>
    <w:qFormat/>
    <w:basedOn w:val="默认段落字体"/>
    <w:rPr>
      <w:rFonts w:ascii="Times New Roman" w:hAnsi="Times New Roman"/>
      <w:sz w:val="18"/>
      <w:szCs w:val="18"/>
    </w:rPr>
  </w:style>
  <w:style w:type="character" w:styleId="BodyTextChar">
    <w:name w:val="Body Text Char"/>
    <w:qFormat/>
    <w:basedOn w:val="默认段落字体"/>
    <w:rPr>
      <w:rFonts w:ascii="Times New Roman" w:hAnsi="Times New Roman"/>
      <w:szCs w:val="24"/>
    </w:rPr>
  </w:style>
  <w:style w:type="paragraph" w:styleId="Default">
    <w:name w:val="Default"/>
    <w:qFormat/>
    <w:pPr/>
    <w:rPr>
      <w:color w:val="000000"/>
      <w:rFonts w:ascii="仿宋" w:hAnsi="Calibri"/>
      <w:sz w:val="24"/>
      <w:szCs w:val="24"/>
    </w:rPr>
  </w:style>
  <w:style w:type="paragraph" w:styleId="">
    <w:name w:val="列出段落"/>
    <w:qFormat/>
    <w:basedOn w:val="正文"/>
    <w:pPr>
      <w:ind w:firstLine="420"/>
    </w:pPr>
  </w:style>
  <w:style w:type="paragraph" w:styleId="TOC1">
    <w:name w:val="TOC 标题1"/>
    <w:qFormat/>
    <w:basedOn w:val="标题1"/>
    <w:pPr>
      <w:jc w:val="left"/>
      <w:spacing w:before="480" w:after="0" w:line="276" w:lineRule="auto"/>
    </w:pPr>
    <w:rPr>
      <w:color w:val="366091"/>
      <w:rFonts w:ascii="Cambria" w:hAnsi="Cambria"/>
      <w:sz w:val="28"/>
      <w:szCs w:val="28"/>
    </w:rPr>
  </w:style>
  <w:style w:type="paragraph" w:styleId="TOC2">
    <w:name w:val="TOC 标题2"/>
    <w:qFormat/>
    <w:basedOn w:val="标题1"/>
    <w:pPr>
      <w:jc w:val="left"/>
      <w:spacing w:before="480" w:after="0" w:line="276" w:lineRule="auto"/>
    </w:pPr>
    <w:rPr>
      <w:color w:val="366091"/>
      <w:rFonts w:ascii="Cambria" w:hAnsi="Cambria"/>
      <w:sz w:val="28"/>
      <w:szCs w:val="28"/>
    </w:rPr>
  </w:style>
  <w:style w:type="paragraph" w:styleId="">
    <w:name w:val="四号正文"/>
    <w:qFormat/>
    <w:basedOn w:val="正文"/>
    <w:pPr>
      <w:spacing w:line="360" w:lineRule="auto"/>
    </w:pPr>
    <w:rPr>
      <w:color w:val="000000"/>
      <w:rFonts w:ascii="??" w:hAnsi="??"/>
      <w:sz w:val="28"/>
      <w:szCs w:val="21"/>
    </w:rPr>
  </w:style>
  <w:style w:type="paragraph" w:styleId="TOC3">
    <w:name w:val="TOC 标题3"/>
    <w:qFormat/>
    <w:basedOn w:val="标题1"/>
    <w:pPr>
      <w:jc w:val="left"/>
      <w:spacing w:before="240" w:after="0" w:line="259" w:lineRule="auto"/>
    </w:pPr>
    <w:rPr>
      <w:color w:val="366091"/>
      <w:rFonts w:ascii="Cambria" w:hAnsi="Cambria"/>
      <w:sz w:val="32"/>
      <w:szCs w:val="32"/>
    </w:rPr>
  </w:style>
  <w:style w:type="paragraph" w:styleId="msonormal">
    <w:name w:val="msonormal"/>
    <w:qFormat/>
    <w:basedOn w:val="正文"/>
    <w:pPr>
      <w:jc w:val="left"/>
      <w:spacing w:before="0" w:after="0"/>
    </w:pPr>
    <w:rPr>
      <w:rFonts w:ascii="宋体" w:hAnsi="宋体"/>
      <w:sz w:val="24"/>
    </w:rPr>
  </w:style>
  <w:style w:type="paragraph" w:styleId="font5">
    <w:name w:val="font5"/>
    <w:qFormat/>
    <w:basedOn w:val="正文"/>
    <w:pPr>
      <w:jc w:val="left"/>
      <w:spacing w:before="0" w:after="0"/>
    </w:pPr>
    <w:rPr>
      <w:rFonts w:ascii="等线" w:hAnsi="等线"/>
      <w:sz w:val="18"/>
      <w:szCs w:val="18"/>
    </w:rPr>
  </w:style>
  <w:style w:type="paragraph" w:styleId="xl63">
    <w:name w:val="xl63"/>
    <w:qFormat/>
    <w:basedOn w:val="正文"/>
    <w:pPr>
      <w:pBdr>
        <w:top w:val="single" w:sz="4" w:color="000000" w:space="0"/>
        <w:bottom w:val="single" w:sz="4" w:color="000000" w:space="0"/>
        <w:left w:val="single" w:sz="4" w:color="000000" w:space="0"/>
        <w:right w:val="single" w:sz="4" w:color="000000" w:space="0"/>
      </w:pBdr>
      <w:jc w:val="left"/>
      <w:spacing w:before="0" w:after="0"/>
    </w:pPr>
    <w:rPr>
      <w:color w:val="000000"/>
      <w:rFonts w:ascii="宋体" w:hAnsi="宋体"/>
      <w:sz w:val="18"/>
      <w:szCs w:val="18"/>
    </w:rPr>
  </w:style>
  <w:style w:type="paragraph" w:styleId="xl64">
    <w:name w:val="xl64"/>
    <w:qFormat/>
    <w:basedOn w:val="正文"/>
    <w:pPr>
      <w:jc w:val="left"/>
      <w:spacing w:before="0" w:after="0"/>
    </w:pPr>
    <w:rPr>
      <w:color w:val="000000"/>
      <w:rFonts w:ascii="Courier New" w:hAnsi="Courier New"/>
      <w:sz w:val="18"/>
      <w:szCs w:val="18"/>
    </w:rPr>
  </w:style>
  <w:style w:type="paragraph" w:styleId="xl65">
    <w:name w:val="xl65"/>
    <w:qFormat/>
    <w:basedOn w:val="正文"/>
    <w:pPr>
      <w:pBdr>
        <w:top w:val="single" w:sz="4" w:color="000000" w:space="0"/>
        <w:bottom w:val="single" w:sz="4" w:color="000000" w:space="0"/>
        <w:left w:val="single" w:sz="4" w:color="000000" w:space="0"/>
        <w:right w:val="single" w:sz="4" w:color="000000" w:space="0"/>
      </w:pBdr>
      <w:jc w:val="center"/>
      <w:spacing w:before="0" w:after="0"/>
    </w:pPr>
    <w:rPr>
      <w:color w:val="000000"/>
      <w:rFonts w:ascii="宋体" w:hAnsi="宋体"/>
      <w:sz w:val="18"/>
      <w:szCs w:val="18"/>
    </w:rPr>
  </w:style>
  <w:style w:type="paragraph" w:styleId="xl66">
    <w:name w:val="xl66"/>
    <w:qFormat/>
    <w:basedOn w:val="正文"/>
    <w:pPr>
      <w:pBdr>
        <w:top w:val="single" w:sz="4" w:color="000000" w:space="0"/>
        <w:bottom w:val="single" w:sz="4" w:color="000000" w:space="0"/>
        <w:left w:val="single" w:sz="4" w:color="000000" w:space="0"/>
        <w:right w:val="single" w:sz="4" w:color="000000" w:space="0"/>
      </w:pBdr>
      <w:jc w:val="center"/>
      <w:spacing w:before="0" w:after="0"/>
    </w:pPr>
    <w:rPr>
      <w:color w:val="000000"/>
      <w:rFonts w:ascii="宋体" w:hAnsi="宋体"/>
      <w:sz w:val="18"/>
      <w:szCs w:val="18"/>
    </w:rPr>
  </w:style>
  <w:style w:type="paragraph" w:styleId="xl67">
    <w:name w:val="xl67"/>
    <w:qFormat/>
    <w:basedOn w:val="正文"/>
    <w:pPr>
      <w:pBdr>
        <w:top w:val="single" w:sz="4" w:color="000000" w:space="0"/>
        <w:bottom w:val="single" w:sz="4" w:color="000000" w:space="0"/>
        <w:left w:val="single" w:sz="4" w:color="000000" w:space="0"/>
        <w:right w:val="single" w:sz="4" w:color="000000" w:space="0"/>
      </w:pBdr>
      <w:jc w:val="center"/>
      <w:spacing w:before="0" w:after="0"/>
    </w:pPr>
    <w:rPr>
      <w:color w:val="000000"/>
      <w:rFonts w:ascii="宋体" w:hAnsi="宋体"/>
      <w:sz w:val="18"/>
      <w:szCs w:val="18"/>
    </w:rPr>
  </w:style>
  <w:style w:type="paragraph" w:styleId="xl68">
    <w:name w:val="xl68"/>
    <w:qFormat/>
    <w:basedOn w:val="正文"/>
    <w:pPr>
      <w:pBdr>
        <w:top w:val="single" w:sz="4" w:color="000000" w:space="0"/>
        <w:bottom w:val="single" w:sz="4" w:color="000000" w:space="0"/>
        <w:left w:val="single" w:sz="4" w:color="000000" w:space="0"/>
        <w:right w:val="single" w:sz="4" w:color="000000" w:space="0"/>
      </w:pBdr>
      <w:jc w:val="center"/>
      <w:spacing w:before="0" w:after="0"/>
    </w:pPr>
    <w:rPr>
      <w:i/>
      <w:color w:val="000000"/>
      <w:rFonts w:ascii="微软雅黑" w:hAnsi="微软雅黑"/>
      <w:sz w:val="16"/>
      <w:szCs w:val="16"/>
    </w:rPr>
  </w:style>
  <w:style w:type="paragraph" w:styleId="xl69">
    <w:name w:val="xl69"/>
    <w:qFormat/>
    <w:basedOn w:val="正文"/>
    <w:pPr>
      <w:jc w:val="left"/>
      <w:spacing w:before="0" w:after="0"/>
    </w:pPr>
    <w:rPr>
      <w:rFonts w:ascii="宋体" w:hAnsi="宋体"/>
      <w:sz w:val="18"/>
      <w:szCs w:val="18"/>
    </w:rPr>
  </w:style>
  <w:style w:type="paragraph" w:styleId="xl70">
    <w:name w:val="xl70"/>
    <w:qFormat/>
    <w:basedOn w:val="正文"/>
    <w:pPr>
      <w:pBdr>
        <w:top w:val="single" w:sz="4" w:color="000000" w:space="0"/>
        <w:bottom w:val="single" w:sz="4" w:color="000000" w:space="0"/>
        <w:left w:val="single" w:sz="4" w:color="000000" w:space="0"/>
        <w:right w:val="single" w:sz="4" w:color="000000" w:space="0"/>
      </w:pBdr>
      <w:jc w:val="center"/>
      <w:spacing w:before="0" w:after="0"/>
    </w:pPr>
    <w:rPr>
      <w:b/>
      <w:color w:val="000000"/>
      <w:rFonts w:ascii="黑体" w:hAnsi="黑体"/>
      <w:sz w:val="30"/>
      <w:szCs w:val="30"/>
    </w:rPr>
  </w:style>
  <w:style w:type="paragraph" w:styleId="xl71">
    <w:name w:val="xl71"/>
    <w:qFormat/>
    <w:basedOn w:val="正文"/>
    <w:pPr>
      <w:pBdr>
        <w:top w:val="single" w:sz="4" w:color="000000" w:space="0"/>
        <w:bottom w:val="single" w:sz="4" w:color="000000" w:space="0"/>
        <w:left w:val="single" w:sz="4" w:color="000000" w:space="0"/>
        <w:right w:val="single" w:sz="4" w:color="000000" w:space="0"/>
      </w:pBdr>
      <w:jc w:val="center"/>
      <w:spacing w:before="0" w:after="0"/>
    </w:pPr>
    <w:rPr>
      <w:color w:val="000000"/>
      <w:rFonts w:ascii="Courier New" w:hAnsi="Courier New"/>
      <w:sz w:val="18"/>
      <w:szCs w:val="18"/>
    </w:rPr>
  </w:style>
  <w:style w:type="paragraph" w:styleId="xl72">
    <w:name w:val="xl72"/>
    <w:qFormat/>
    <w:basedOn w:val="正文"/>
    <w:pPr>
      <w:pBdr>
        <w:top w:val="single" w:sz="4" w:color="000000" w:space="0"/>
        <w:bottom w:val="single" w:sz="4" w:color="000000" w:space="0"/>
        <w:left w:val="single" w:sz="4" w:color="000000" w:space="0"/>
        <w:right w:val="single" w:sz="4" w:color="000000" w:space="0"/>
      </w:pBdr>
      <w:jc w:val="left"/>
      <w:spacing w:before="0" w:after="0"/>
    </w:pPr>
    <w:rPr>
      <w:color w:val="000000"/>
      <w:rFonts w:ascii="Courier New" w:hAnsi="Courier New"/>
      <w:sz w:val="18"/>
      <w:szCs w:val="18"/>
    </w:rPr>
  </w:style>
  <w:style w:type="paragraph" w:styleId="xl73">
    <w:name w:val="xl73"/>
    <w:qFormat/>
    <w:basedOn w:val="正文"/>
    <w:pPr>
      <w:pBdr>
        <w:top w:val="single" w:sz="4" w:color="000000" w:space="0"/>
        <w:bottom w:val="single" w:sz="4" w:color="000000" w:space="0"/>
        <w:left w:val="single" w:sz="4" w:color="000000" w:space="0"/>
        <w:right w:val="single" w:sz="4" w:color="000000" w:space="0"/>
      </w:pBdr>
      <w:jc w:val="left"/>
      <w:spacing w:before="0" w:after="0"/>
    </w:pPr>
    <w:rPr>
      <w:i/>
      <w:color w:val="000000"/>
      <w:rFonts w:ascii="Courier New" w:hAnsi="Courier New"/>
      <w:sz w:val="18"/>
      <w:szCs w:val="18"/>
    </w:rPr>
  </w:style>
  <w:style w:type="paragraph" w:styleId="xl74">
    <w:name w:val="xl74"/>
    <w:qFormat/>
    <w:basedOn w:val="正文"/>
    <w:pPr>
      <w:pBdr>
        <w:top w:val="single" w:sz="4" w:color="000000" w:space="0"/>
        <w:bottom w:val="single" w:sz="4" w:color="000000" w:space="0"/>
        <w:left w:val="single" w:sz="4" w:color="000000" w:space="0"/>
        <w:right w:val="single" w:sz="4" w:color="000000" w:space="0"/>
      </w:pBdr>
      <w:jc w:val="left"/>
      <w:spacing w:before="0" w:after="0"/>
    </w:pPr>
    <w:rPr>
      <w:i/>
      <w:color w:val="000000"/>
      <w:rFonts w:ascii="微软雅黑" w:hAnsi="微软雅黑"/>
      <w:sz w:val="16"/>
      <w:szCs w:val="16"/>
    </w:rPr>
  </w:style>
  <w:style w:type="paragraph" w:styleId="WPSOffice1">
    <w:name w:val="WPSOffice手动目录 1"/>
    <w:qFormat/>
    <w:pPr/>
    <w:rPr/>
  </w:style>
  <w:style w:type="paragraph" w:styleId="WPSOffice2">
    <w:name w:val="WPSOffice手动目录 2"/>
    <w:qFormat/>
    <w:pPr/>
    <w:rPr/>
  </w:style>
  <w:style w:type="paragraph" w:styleId="TOC">
    <w:name w:val="TOC 标题"/>
    <w:qFormat/>
    <w:basedOn w:val="标题1"/>
    <w:pPr>
      <w:jc w:val="left"/>
      <w:spacing w:before="480" w:after="0" w:line="276" w:lineRule="auto"/>
    </w:pPr>
    <w:rPr>
      <w:color w:val="365F91"/>
      <w:rFonts w:ascii="Cambria" w:hAnsi="Cambria"/>
      <w:sz w:val="28"/>
      <w:szCs w:val="2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 Id="rId15" TargetMode="External" Type="http://schemas.openxmlformats.org/officeDocument/2006/relationships/hyperlink" Target="https://baike.so.com/doc/2850864-3008381.html"/><Relationship Id="rId16" TargetMode="External" Type="http://schemas.openxmlformats.org/officeDocument/2006/relationships/hyperlink" Target="https://baike.so.com/doc/1647230.html"/><Relationship Id="rId17" TargetMode="External" Type="http://schemas.openxmlformats.org/officeDocument/2006/relationships/hyperlink" Target="https://baike.so.com/doc/1715041.html"/><Relationship Id="rId18" Type="http://schemas.openxmlformats.org/officeDocument/2006/relationships/header" Target="header1.xml"/><Relationship Id="rId1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